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E7A" w:rsidRDefault="00E33E7A" w:rsidP="00E33E7A">
      <w:pPr>
        <w:jc w:val="center"/>
        <w:rPr>
          <w:rFonts w:ascii="黑体" w:eastAsia="黑体" w:hAnsi="黑体"/>
          <w:b/>
          <w:sz w:val="32"/>
          <w:szCs w:val="32"/>
        </w:rPr>
      </w:pPr>
      <w:r w:rsidRPr="00E33E7A">
        <w:rPr>
          <w:rFonts w:ascii="黑体" w:eastAsia="黑体" w:hAnsi="黑体" w:hint="eastAsia"/>
          <w:b/>
          <w:sz w:val="32"/>
          <w:szCs w:val="32"/>
        </w:rPr>
        <w:t>2015年三季度苏</w:t>
      </w:r>
      <w:proofErr w:type="gramStart"/>
      <w:r w:rsidRPr="00E33E7A">
        <w:rPr>
          <w:rFonts w:ascii="黑体" w:eastAsia="黑体" w:hAnsi="黑体" w:hint="eastAsia"/>
          <w:b/>
          <w:sz w:val="32"/>
          <w:szCs w:val="32"/>
        </w:rPr>
        <w:t>南城市</w:t>
      </w:r>
      <w:proofErr w:type="gramEnd"/>
      <w:r w:rsidRPr="00E33E7A">
        <w:rPr>
          <w:rFonts w:ascii="黑体" w:eastAsia="黑体" w:hAnsi="黑体" w:hint="eastAsia"/>
          <w:b/>
          <w:sz w:val="32"/>
          <w:szCs w:val="32"/>
        </w:rPr>
        <w:t>市场季报——</w:t>
      </w:r>
      <w:r>
        <w:rPr>
          <w:rFonts w:ascii="黑体" w:eastAsia="黑体" w:hAnsi="黑体" w:hint="eastAsia"/>
          <w:b/>
          <w:sz w:val="32"/>
          <w:szCs w:val="32"/>
        </w:rPr>
        <w:t>土地</w:t>
      </w:r>
      <w:r w:rsidRPr="00E33E7A">
        <w:rPr>
          <w:rFonts w:ascii="黑体" w:eastAsia="黑体" w:hAnsi="黑体" w:hint="eastAsia"/>
          <w:b/>
          <w:sz w:val="32"/>
          <w:szCs w:val="32"/>
        </w:rPr>
        <w:t>篇</w:t>
      </w:r>
    </w:p>
    <w:p w:rsidR="00410D09" w:rsidRPr="00410D09" w:rsidRDefault="00410D09" w:rsidP="00410D09">
      <w:pPr>
        <w:jc w:val="left"/>
        <w:rPr>
          <w:rFonts w:ascii="黑体" w:eastAsia="黑体" w:hAnsi="黑体"/>
          <w:b/>
          <w:sz w:val="28"/>
          <w:szCs w:val="28"/>
        </w:rPr>
      </w:pPr>
      <w:r w:rsidRPr="00410D09">
        <w:rPr>
          <w:rFonts w:ascii="黑体" w:eastAsia="黑体" w:hAnsi="黑体" w:hint="eastAsia"/>
          <w:b/>
          <w:sz w:val="28"/>
          <w:szCs w:val="28"/>
        </w:rPr>
        <w:t>一、</w:t>
      </w:r>
      <w:r>
        <w:rPr>
          <w:rFonts w:ascii="黑体" w:eastAsia="黑体" w:hAnsi="黑体" w:hint="eastAsia"/>
          <w:b/>
          <w:sz w:val="28"/>
          <w:szCs w:val="28"/>
        </w:rPr>
        <w:t>概览</w:t>
      </w:r>
    </w:p>
    <w:p w:rsidR="00410D09" w:rsidRDefault="00410D09" w:rsidP="00410D09">
      <w:pPr>
        <w:spacing w:line="360" w:lineRule="auto"/>
        <w:rPr>
          <w:sz w:val="24"/>
          <w:szCs w:val="24"/>
        </w:rPr>
      </w:pPr>
      <w:r>
        <w:rPr>
          <w:rFonts w:hint="eastAsia"/>
        </w:rPr>
        <w:t xml:space="preserve">     </w:t>
      </w:r>
      <w:r w:rsidRPr="00F23E13">
        <w:rPr>
          <w:rFonts w:hint="eastAsia"/>
          <w:sz w:val="24"/>
          <w:szCs w:val="24"/>
        </w:rPr>
        <w:t>2015</w:t>
      </w:r>
      <w:r w:rsidR="00F23E13" w:rsidRPr="00F23E13">
        <w:rPr>
          <w:rFonts w:hint="eastAsia"/>
          <w:sz w:val="24"/>
          <w:szCs w:val="24"/>
        </w:rPr>
        <w:t>年三</w:t>
      </w:r>
      <w:r w:rsidRPr="00F23E13">
        <w:rPr>
          <w:rFonts w:hint="eastAsia"/>
          <w:sz w:val="24"/>
          <w:szCs w:val="24"/>
        </w:rPr>
        <w:t>季度，随着央行</w:t>
      </w:r>
      <w:proofErr w:type="gramStart"/>
      <w:r w:rsidRPr="00F23E13">
        <w:rPr>
          <w:rFonts w:hint="eastAsia"/>
          <w:sz w:val="24"/>
          <w:szCs w:val="24"/>
        </w:rPr>
        <w:t>接连降准降息</w:t>
      </w:r>
      <w:proofErr w:type="gramEnd"/>
      <w:r w:rsidRPr="00F23E13">
        <w:rPr>
          <w:rFonts w:hint="eastAsia"/>
          <w:sz w:val="24"/>
          <w:szCs w:val="24"/>
        </w:rPr>
        <w:t>，货币环境趋于宽松，</w:t>
      </w:r>
      <w:r w:rsidR="00903BAC">
        <w:rPr>
          <w:rFonts w:hint="eastAsia"/>
          <w:sz w:val="24"/>
          <w:szCs w:val="24"/>
        </w:rPr>
        <w:t>三季度土地市场</w:t>
      </w:r>
      <w:r w:rsidR="00F23E13" w:rsidRPr="00F23E13">
        <w:rPr>
          <w:rFonts w:hint="eastAsia"/>
          <w:sz w:val="24"/>
          <w:szCs w:val="24"/>
        </w:rPr>
        <w:t>比二</w:t>
      </w:r>
      <w:r w:rsidR="00903BAC">
        <w:rPr>
          <w:rFonts w:hint="eastAsia"/>
          <w:sz w:val="24"/>
          <w:szCs w:val="24"/>
        </w:rPr>
        <w:t>季度更为活跃</w:t>
      </w:r>
      <w:r w:rsidR="009D0590" w:rsidRPr="00F23E13">
        <w:rPr>
          <w:rFonts w:hint="eastAsia"/>
          <w:sz w:val="24"/>
          <w:szCs w:val="24"/>
        </w:rPr>
        <w:t>。三</w:t>
      </w:r>
      <w:r w:rsidR="00A33A81" w:rsidRPr="00F23E13">
        <w:rPr>
          <w:rFonts w:hint="eastAsia"/>
          <w:sz w:val="24"/>
          <w:szCs w:val="24"/>
        </w:rPr>
        <w:t>季度，苏南五市土地市场共成交</w:t>
      </w:r>
      <w:r w:rsidR="00AC6E36" w:rsidRPr="00F23E13">
        <w:rPr>
          <w:rFonts w:hint="eastAsia"/>
          <w:sz w:val="24"/>
          <w:szCs w:val="24"/>
        </w:rPr>
        <w:t>经营性用地</w:t>
      </w:r>
      <w:r w:rsidR="009D0590" w:rsidRPr="00F23E13">
        <w:rPr>
          <w:rFonts w:hint="eastAsia"/>
          <w:sz w:val="24"/>
          <w:szCs w:val="24"/>
        </w:rPr>
        <w:t>73</w:t>
      </w:r>
      <w:r w:rsidR="00A33A81" w:rsidRPr="00F23E13">
        <w:rPr>
          <w:rFonts w:hint="eastAsia"/>
          <w:sz w:val="24"/>
          <w:szCs w:val="24"/>
        </w:rPr>
        <w:t>宗</w:t>
      </w:r>
      <w:r w:rsidR="00226B22" w:rsidRPr="00F23E13">
        <w:rPr>
          <w:rFonts w:hint="eastAsia"/>
          <w:sz w:val="24"/>
          <w:szCs w:val="24"/>
        </w:rPr>
        <w:t>，环比增长</w:t>
      </w:r>
      <w:r w:rsidR="009D0590" w:rsidRPr="00F23E13">
        <w:rPr>
          <w:rFonts w:hint="eastAsia"/>
          <w:sz w:val="24"/>
          <w:szCs w:val="24"/>
        </w:rPr>
        <w:t>5.80</w:t>
      </w:r>
      <w:r w:rsidR="00226B22" w:rsidRPr="00F23E13">
        <w:rPr>
          <w:rFonts w:hint="eastAsia"/>
          <w:sz w:val="24"/>
          <w:szCs w:val="24"/>
        </w:rPr>
        <w:t>%</w:t>
      </w:r>
      <w:r w:rsidR="00226B22" w:rsidRPr="00F23E13">
        <w:rPr>
          <w:rFonts w:hint="eastAsia"/>
          <w:sz w:val="24"/>
          <w:szCs w:val="24"/>
        </w:rPr>
        <w:t>，同比下降</w:t>
      </w:r>
      <w:r w:rsidR="009D0590" w:rsidRPr="00F23E13">
        <w:rPr>
          <w:rFonts w:hint="eastAsia"/>
          <w:sz w:val="24"/>
          <w:szCs w:val="24"/>
        </w:rPr>
        <w:t>19.78</w:t>
      </w:r>
      <w:r w:rsidR="00226B22" w:rsidRPr="00F23E13">
        <w:rPr>
          <w:rFonts w:hint="eastAsia"/>
          <w:sz w:val="24"/>
          <w:szCs w:val="24"/>
        </w:rPr>
        <w:t>%</w:t>
      </w:r>
      <w:r w:rsidR="00FB04CF" w:rsidRPr="00F23E13">
        <w:rPr>
          <w:rFonts w:hint="eastAsia"/>
          <w:sz w:val="24"/>
          <w:szCs w:val="24"/>
        </w:rPr>
        <w:t>；</w:t>
      </w:r>
      <w:r w:rsidR="00086234" w:rsidRPr="00F23E13">
        <w:rPr>
          <w:rFonts w:hint="eastAsia"/>
          <w:sz w:val="24"/>
          <w:szCs w:val="24"/>
        </w:rPr>
        <w:t>成交面积</w:t>
      </w:r>
      <w:r w:rsidR="009D0590" w:rsidRPr="00F23E13">
        <w:rPr>
          <w:sz w:val="24"/>
          <w:szCs w:val="24"/>
        </w:rPr>
        <w:t>319.41</w:t>
      </w:r>
      <w:r w:rsidR="00086234" w:rsidRPr="00F23E13">
        <w:rPr>
          <w:rFonts w:hint="eastAsia"/>
          <w:sz w:val="24"/>
          <w:szCs w:val="24"/>
        </w:rPr>
        <w:t>万</w:t>
      </w:r>
      <w:r w:rsidR="00086234" w:rsidRPr="00F23E13">
        <w:rPr>
          <w:rFonts w:hint="eastAsia"/>
          <w:sz w:val="24"/>
          <w:szCs w:val="24"/>
        </w:rPr>
        <w:t>m</w:t>
      </w:r>
      <w:r w:rsidR="00086234" w:rsidRPr="00F23E13">
        <w:rPr>
          <w:rFonts w:hint="eastAsia"/>
          <w:sz w:val="24"/>
          <w:szCs w:val="24"/>
          <w:vertAlign w:val="superscript"/>
        </w:rPr>
        <w:t>2</w:t>
      </w:r>
      <w:r w:rsidR="00086234" w:rsidRPr="00F23E13">
        <w:rPr>
          <w:rFonts w:hint="eastAsia"/>
          <w:sz w:val="24"/>
          <w:szCs w:val="24"/>
        </w:rPr>
        <w:t>，环比增长</w:t>
      </w:r>
      <w:r w:rsidR="009D0590" w:rsidRPr="00F23E13">
        <w:rPr>
          <w:sz w:val="24"/>
          <w:szCs w:val="24"/>
        </w:rPr>
        <w:t>12.68%</w:t>
      </w:r>
      <w:r w:rsidR="00FB04CF" w:rsidRPr="00F23E13">
        <w:rPr>
          <w:rFonts w:hint="eastAsia"/>
          <w:sz w:val="24"/>
          <w:szCs w:val="24"/>
        </w:rPr>
        <w:t>，同比下跌</w:t>
      </w:r>
      <w:r w:rsidR="009D0590" w:rsidRPr="00F23E13">
        <w:rPr>
          <w:rFonts w:hint="eastAsia"/>
          <w:sz w:val="24"/>
          <w:szCs w:val="24"/>
        </w:rPr>
        <w:t>16.53</w:t>
      </w:r>
      <w:r w:rsidR="00FB04CF" w:rsidRPr="00F23E13">
        <w:rPr>
          <w:rFonts w:hint="eastAsia"/>
          <w:sz w:val="24"/>
          <w:szCs w:val="24"/>
        </w:rPr>
        <w:t>%</w:t>
      </w:r>
      <w:r w:rsidR="00086234" w:rsidRPr="00F23E13">
        <w:rPr>
          <w:rFonts w:hint="eastAsia"/>
          <w:sz w:val="24"/>
          <w:szCs w:val="24"/>
        </w:rPr>
        <w:t>；成交金额</w:t>
      </w:r>
      <w:r w:rsidR="009D0590" w:rsidRPr="00F23E13">
        <w:rPr>
          <w:sz w:val="24"/>
          <w:szCs w:val="24"/>
        </w:rPr>
        <w:t>516.97</w:t>
      </w:r>
      <w:r w:rsidR="00086234" w:rsidRPr="00F23E13">
        <w:rPr>
          <w:rFonts w:hint="eastAsia"/>
          <w:sz w:val="24"/>
          <w:szCs w:val="24"/>
        </w:rPr>
        <w:t>亿元，环比增长</w:t>
      </w:r>
      <w:r w:rsidR="009D0590" w:rsidRPr="00F23E13">
        <w:rPr>
          <w:rFonts w:hint="eastAsia"/>
          <w:sz w:val="24"/>
          <w:szCs w:val="24"/>
        </w:rPr>
        <w:t>95.27%</w:t>
      </w:r>
      <w:r w:rsidR="00FB04CF" w:rsidRPr="00F23E13">
        <w:rPr>
          <w:rFonts w:hint="eastAsia"/>
          <w:sz w:val="24"/>
          <w:szCs w:val="24"/>
        </w:rPr>
        <w:t>，同比</w:t>
      </w:r>
      <w:r w:rsidR="009D0590" w:rsidRPr="00F23E13">
        <w:rPr>
          <w:rFonts w:hint="eastAsia"/>
          <w:sz w:val="24"/>
          <w:szCs w:val="24"/>
        </w:rPr>
        <w:t>增长</w:t>
      </w:r>
      <w:r w:rsidR="009D0590" w:rsidRPr="00F23E13">
        <w:rPr>
          <w:rFonts w:hint="eastAsia"/>
          <w:sz w:val="24"/>
          <w:szCs w:val="24"/>
        </w:rPr>
        <w:t>125.65%</w:t>
      </w:r>
      <w:r w:rsidR="00086234" w:rsidRPr="00F23E13">
        <w:rPr>
          <w:rFonts w:hint="eastAsia"/>
          <w:sz w:val="24"/>
          <w:szCs w:val="24"/>
        </w:rPr>
        <w:t>。</w:t>
      </w:r>
    </w:p>
    <w:p w:rsidR="00004B7A" w:rsidRDefault="00004B7A" w:rsidP="00FB2E73">
      <w:pPr>
        <w:spacing w:line="360" w:lineRule="auto"/>
        <w:ind w:firstLine="480"/>
        <w:rPr>
          <w:sz w:val="24"/>
          <w:szCs w:val="24"/>
        </w:rPr>
      </w:pPr>
      <w:r w:rsidRPr="008D0C3B">
        <w:rPr>
          <w:rFonts w:hint="eastAsia"/>
          <w:sz w:val="24"/>
          <w:szCs w:val="24"/>
        </w:rPr>
        <w:t>在政策环境趋于宽松的情况下，今年土地市场与去年同期相比明显下降的原因，主要由于政府供地趋于谨慎，供地宗数有明显下降，尤其是</w:t>
      </w:r>
      <w:r w:rsidR="00F716D6">
        <w:rPr>
          <w:rFonts w:hint="eastAsia"/>
          <w:sz w:val="24"/>
          <w:szCs w:val="24"/>
        </w:rPr>
        <w:t>无锡、常州</w:t>
      </w:r>
      <w:r w:rsidRPr="008D0C3B">
        <w:rPr>
          <w:rFonts w:hint="eastAsia"/>
          <w:sz w:val="24"/>
          <w:szCs w:val="24"/>
        </w:rPr>
        <w:t>等市。</w:t>
      </w:r>
    </w:p>
    <w:p w:rsidR="00FB2E73" w:rsidRPr="00410D09" w:rsidRDefault="00FB2E73" w:rsidP="0086328F">
      <w:pPr>
        <w:spacing w:beforeLines="50" w:before="156"/>
        <w:jc w:val="left"/>
        <w:rPr>
          <w:rFonts w:ascii="黑体" w:eastAsia="黑体" w:hAnsi="黑体"/>
          <w:b/>
          <w:sz w:val="28"/>
          <w:szCs w:val="28"/>
        </w:rPr>
      </w:pPr>
      <w:r>
        <w:rPr>
          <w:rFonts w:ascii="黑体" w:eastAsia="黑体" w:hAnsi="黑体" w:hint="eastAsia"/>
          <w:b/>
          <w:sz w:val="28"/>
          <w:szCs w:val="28"/>
        </w:rPr>
        <w:t>二</w:t>
      </w:r>
      <w:r w:rsidRPr="00410D09">
        <w:rPr>
          <w:rFonts w:ascii="黑体" w:eastAsia="黑体" w:hAnsi="黑体" w:hint="eastAsia"/>
          <w:b/>
          <w:sz w:val="28"/>
          <w:szCs w:val="28"/>
        </w:rPr>
        <w:t>、</w:t>
      </w:r>
      <w:r>
        <w:rPr>
          <w:rFonts w:ascii="黑体" w:eastAsia="黑体" w:hAnsi="黑体" w:hint="eastAsia"/>
          <w:b/>
          <w:sz w:val="28"/>
          <w:szCs w:val="28"/>
        </w:rPr>
        <w:t>整体市场</w:t>
      </w:r>
    </w:p>
    <w:p w:rsidR="00FB2E73" w:rsidRDefault="008F29DD" w:rsidP="0086328F">
      <w:pPr>
        <w:spacing w:beforeLines="50" w:before="156" w:line="360" w:lineRule="auto"/>
        <w:rPr>
          <w:b/>
          <w:sz w:val="24"/>
          <w:szCs w:val="24"/>
        </w:rPr>
      </w:pPr>
      <w:r w:rsidRPr="008F29DD">
        <w:rPr>
          <w:rFonts w:hint="eastAsia"/>
          <w:b/>
          <w:sz w:val="24"/>
          <w:szCs w:val="24"/>
        </w:rPr>
        <w:t>（一）供需状况</w:t>
      </w:r>
    </w:p>
    <w:p w:rsidR="004D6233" w:rsidRPr="009D0590" w:rsidRDefault="008F29DD" w:rsidP="009D0590">
      <w:pPr>
        <w:spacing w:line="360" w:lineRule="auto"/>
        <w:ind w:firstLineChars="200" w:firstLine="480"/>
        <w:rPr>
          <w:sz w:val="24"/>
          <w:szCs w:val="24"/>
        </w:rPr>
      </w:pPr>
      <w:r>
        <w:rPr>
          <w:rFonts w:hint="eastAsia"/>
          <w:sz w:val="24"/>
          <w:szCs w:val="24"/>
        </w:rPr>
        <w:t>2015</w:t>
      </w:r>
      <w:r w:rsidR="009D0590">
        <w:rPr>
          <w:rFonts w:hint="eastAsia"/>
          <w:sz w:val="24"/>
          <w:szCs w:val="24"/>
        </w:rPr>
        <w:t>年三</w:t>
      </w:r>
      <w:r>
        <w:rPr>
          <w:rFonts w:hint="eastAsia"/>
          <w:sz w:val="24"/>
          <w:szCs w:val="24"/>
        </w:rPr>
        <w:t>季度，</w:t>
      </w:r>
      <w:r w:rsidR="00AC6E36">
        <w:rPr>
          <w:rFonts w:hint="eastAsia"/>
          <w:sz w:val="24"/>
          <w:szCs w:val="24"/>
        </w:rPr>
        <w:t>苏南</w:t>
      </w:r>
      <w:r w:rsidR="00AC6E36" w:rsidRPr="00451929">
        <w:rPr>
          <w:rFonts w:ascii="Times New Roman" w:hAnsi="Times New Roman" w:cs="Times New Roman"/>
          <w:color w:val="000000"/>
          <w:sz w:val="24"/>
          <w:szCs w:val="24"/>
          <w:shd w:val="clear" w:color="auto" w:fill="FAFCFF"/>
        </w:rPr>
        <w:t>五市</w:t>
      </w:r>
      <w:r w:rsidR="00AC6E36" w:rsidRPr="00451929">
        <w:rPr>
          <w:rStyle w:val="a5"/>
          <w:rFonts w:ascii="Times New Roman" w:hAnsi="Times New Roman" w:cs="Times New Roman"/>
          <w:sz w:val="24"/>
        </w:rPr>
        <w:footnoteReference w:id="1"/>
      </w:r>
      <w:r w:rsidR="00AC6E36">
        <w:rPr>
          <w:rFonts w:hint="eastAsia"/>
          <w:sz w:val="24"/>
          <w:szCs w:val="24"/>
        </w:rPr>
        <w:t>共推出经营性用地</w:t>
      </w:r>
      <w:r w:rsidR="009D0590">
        <w:rPr>
          <w:rFonts w:hint="eastAsia"/>
          <w:sz w:val="24"/>
          <w:szCs w:val="24"/>
        </w:rPr>
        <w:t>82</w:t>
      </w:r>
      <w:r w:rsidR="00AC6E36">
        <w:rPr>
          <w:rFonts w:hint="eastAsia"/>
          <w:sz w:val="24"/>
          <w:szCs w:val="24"/>
        </w:rPr>
        <w:t>宗，</w:t>
      </w:r>
      <w:r w:rsidR="00132016">
        <w:rPr>
          <w:rFonts w:hint="eastAsia"/>
          <w:sz w:val="24"/>
          <w:szCs w:val="24"/>
        </w:rPr>
        <w:t>同比</w:t>
      </w:r>
      <w:r w:rsidR="00917ACA" w:rsidRPr="00917ACA">
        <w:rPr>
          <w:rFonts w:hint="eastAsia"/>
          <w:sz w:val="24"/>
          <w:szCs w:val="24"/>
        </w:rPr>
        <w:t>下跌</w:t>
      </w:r>
      <w:r w:rsidR="009D0590">
        <w:rPr>
          <w:rFonts w:hint="eastAsia"/>
          <w:sz w:val="24"/>
          <w:szCs w:val="24"/>
        </w:rPr>
        <w:t>9.89</w:t>
      </w:r>
      <w:r w:rsidR="00917ACA" w:rsidRPr="00917ACA">
        <w:rPr>
          <w:rFonts w:hint="eastAsia"/>
          <w:sz w:val="24"/>
          <w:szCs w:val="24"/>
        </w:rPr>
        <w:t>%</w:t>
      </w:r>
      <w:r w:rsidR="00917ACA">
        <w:rPr>
          <w:rFonts w:hint="eastAsia"/>
          <w:sz w:val="24"/>
          <w:szCs w:val="24"/>
        </w:rPr>
        <w:t>，环比</w:t>
      </w:r>
      <w:r w:rsidR="00132016">
        <w:rPr>
          <w:rFonts w:hint="eastAsia"/>
          <w:sz w:val="24"/>
          <w:szCs w:val="24"/>
        </w:rPr>
        <w:t>增</w:t>
      </w:r>
      <w:r w:rsidR="00132016" w:rsidRPr="008D0C3B">
        <w:rPr>
          <w:rFonts w:hint="eastAsia"/>
          <w:sz w:val="24"/>
          <w:szCs w:val="24"/>
        </w:rPr>
        <w:t>加</w:t>
      </w:r>
      <w:r w:rsidR="009D0590" w:rsidRPr="008D0C3B">
        <w:rPr>
          <w:rFonts w:hint="eastAsia"/>
          <w:sz w:val="24"/>
          <w:szCs w:val="24"/>
        </w:rPr>
        <w:t>7.89</w:t>
      </w:r>
      <w:r w:rsidR="00132016" w:rsidRPr="008D0C3B">
        <w:rPr>
          <w:rFonts w:hint="eastAsia"/>
          <w:sz w:val="24"/>
          <w:szCs w:val="24"/>
        </w:rPr>
        <w:t>%</w:t>
      </w:r>
      <w:r w:rsidR="00917ACA" w:rsidRPr="008D0C3B">
        <w:rPr>
          <w:rFonts w:hint="eastAsia"/>
          <w:sz w:val="24"/>
          <w:szCs w:val="24"/>
        </w:rPr>
        <w:t>；供应面积</w:t>
      </w:r>
      <w:r w:rsidR="009D0590" w:rsidRPr="008D0C3B">
        <w:rPr>
          <w:rFonts w:hint="eastAsia"/>
          <w:sz w:val="24"/>
          <w:szCs w:val="24"/>
        </w:rPr>
        <w:t>354.10</w:t>
      </w:r>
      <w:r w:rsidR="00837F56" w:rsidRPr="008D0C3B">
        <w:rPr>
          <w:rFonts w:ascii="Times New Roman" w:hAnsi="Times New Roman" w:cs="Times New Roman"/>
          <w:color w:val="000000"/>
          <w:sz w:val="24"/>
          <w:szCs w:val="24"/>
          <w:shd w:val="clear" w:color="auto" w:fill="FAFCFF"/>
        </w:rPr>
        <w:t>万</w:t>
      </w:r>
      <w:r w:rsidR="00837F56" w:rsidRPr="008D0C3B">
        <w:rPr>
          <w:rFonts w:ascii="Times New Roman" w:hAnsi="Times New Roman" w:cs="Times New Roman"/>
          <w:sz w:val="24"/>
        </w:rPr>
        <w:t>m</w:t>
      </w:r>
      <w:r w:rsidR="00837F56" w:rsidRPr="008D0C3B">
        <w:rPr>
          <w:rFonts w:ascii="Times New Roman" w:hAnsi="Times New Roman" w:cs="Times New Roman"/>
          <w:sz w:val="24"/>
          <w:vertAlign w:val="superscript"/>
        </w:rPr>
        <w:t>2</w:t>
      </w:r>
      <w:r w:rsidR="00837F56" w:rsidRPr="008D0C3B">
        <w:rPr>
          <w:rFonts w:ascii="Times New Roman" w:hAnsi="Times New Roman" w:cs="Times New Roman"/>
          <w:sz w:val="24"/>
        </w:rPr>
        <w:t>，</w:t>
      </w:r>
      <w:r w:rsidR="00837F56" w:rsidRPr="008D0C3B">
        <w:rPr>
          <w:rFonts w:ascii="Times New Roman" w:hAnsi="Times New Roman" w:cs="Times New Roman" w:hint="eastAsia"/>
          <w:sz w:val="24"/>
        </w:rPr>
        <w:t>同比下跌</w:t>
      </w:r>
      <w:r w:rsidR="009D0590" w:rsidRPr="008D0C3B">
        <w:rPr>
          <w:rFonts w:ascii="Times New Roman" w:hAnsi="Times New Roman" w:cs="Times New Roman" w:hint="eastAsia"/>
          <w:sz w:val="24"/>
        </w:rPr>
        <w:t>7.46</w:t>
      </w:r>
      <w:r w:rsidR="00837F56" w:rsidRPr="008D0C3B">
        <w:rPr>
          <w:rFonts w:ascii="Times New Roman" w:hAnsi="Times New Roman" w:cs="Times New Roman" w:hint="eastAsia"/>
          <w:sz w:val="24"/>
        </w:rPr>
        <w:t>%</w:t>
      </w:r>
      <w:r w:rsidR="00837F56" w:rsidRPr="008D0C3B">
        <w:rPr>
          <w:rFonts w:ascii="Times New Roman" w:hAnsi="Times New Roman" w:cs="Times New Roman" w:hint="eastAsia"/>
          <w:sz w:val="24"/>
        </w:rPr>
        <w:t>，环比增加</w:t>
      </w:r>
      <w:r w:rsidR="009D0590" w:rsidRPr="008D0C3B">
        <w:rPr>
          <w:rFonts w:ascii="Times New Roman" w:hAnsi="Times New Roman" w:cs="Times New Roman" w:hint="eastAsia"/>
          <w:sz w:val="24"/>
        </w:rPr>
        <w:t>9.23</w:t>
      </w:r>
      <w:r w:rsidR="00837F56" w:rsidRPr="008D0C3B">
        <w:rPr>
          <w:rFonts w:ascii="Times New Roman" w:hAnsi="Times New Roman" w:cs="Times New Roman" w:hint="eastAsia"/>
          <w:sz w:val="24"/>
        </w:rPr>
        <w:t>%</w:t>
      </w:r>
      <w:r w:rsidR="00837F56" w:rsidRPr="008D0C3B">
        <w:rPr>
          <w:rFonts w:ascii="Times New Roman" w:hAnsi="Times New Roman" w:cs="Times New Roman" w:hint="eastAsia"/>
          <w:sz w:val="24"/>
        </w:rPr>
        <w:t>。</w:t>
      </w:r>
      <w:r w:rsidR="008D0C3B" w:rsidRPr="008D0C3B">
        <w:rPr>
          <w:rFonts w:ascii="Times New Roman" w:hAnsi="Times New Roman" w:cs="Times New Roman" w:hint="eastAsia"/>
          <w:sz w:val="24"/>
        </w:rPr>
        <w:t>南京、苏州和镇江供地与去年同期相比有所上升，其他三市均出现明显下滑；与二</w:t>
      </w:r>
      <w:r w:rsidR="00FC0BB4" w:rsidRPr="008D0C3B">
        <w:rPr>
          <w:rFonts w:ascii="Times New Roman" w:hAnsi="Times New Roman" w:cs="Times New Roman" w:hint="eastAsia"/>
          <w:sz w:val="24"/>
        </w:rPr>
        <w:t>季度相比，苏州</w:t>
      </w:r>
      <w:r w:rsidR="008D0C3B" w:rsidRPr="008D0C3B">
        <w:rPr>
          <w:rFonts w:ascii="Times New Roman" w:hAnsi="Times New Roman" w:cs="Times New Roman" w:hint="eastAsia"/>
          <w:sz w:val="24"/>
        </w:rPr>
        <w:t>、无锡和</w:t>
      </w:r>
      <w:proofErr w:type="gramStart"/>
      <w:r w:rsidR="008D0C3B" w:rsidRPr="008D0C3B">
        <w:rPr>
          <w:rFonts w:ascii="Times New Roman" w:hAnsi="Times New Roman" w:cs="Times New Roman" w:hint="eastAsia"/>
          <w:sz w:val="24"/>
        </w:rPr>
        <w:t>常州</w:t>
      </w:r>
      <w:r w:rsidR="00FC0BB4" w:rsidRPr="008D0C3B">
        <w:rPr>
          <w:rFonts w:ascii="Times New Roman" w:hAnsi="Times New Roman" w:cs="Times New Roman" w:hint="eastAsia"/>
          <w:sz w:val="24"/>
        </w:rPr>
        <w:t>环</w:t>
      </w:r>
      <w:proofErr w:type="gramEnd"/>
      <w:r w:rsidR="00FC0BB4" w:rsidRPr="008D0C3B">
        <w:rPr>
          <w:rFonts w:ascii="Times New Roman" w:hAnsi="Times New Roman" w:cs="Times New Roman" w:hint="eastAsia"/>
          <w:sz w:val="24"/>
        </w:rPr>
        <w:t>比明显上升，而</w:t>
      </w:r>
      <w:r w:rsidR="008D0C3B" w:rsidRPr="008D0C3B">
        <w:rPr>
          <w:rFonts w:ascii="Times New Roman" w:hAnsi="Times New Roman" w:cs="Times New Roman" w:hint="eastAsia"/>
          <w:sz w:val="24"/>
        </w:rPr>
        <w:t>南京和镇江</w:t>
      </w:r>
      <w:r w:rsidR="00FC0BB4" w:rsidRPr="008D0C3B">
        <w:rPr>
          <w:rFonts w:ascii="Times New Roman" w:hAnsi="Times New Roman" w:cs="Times New Roman" w:hint="eastAsia"/>
          <w:sz w:val="24"/>
        </w:rPr>
        <w:t>出现明显下滑。总体来看，</w:t>
      </w:r>
      <w:r w:rsidR="00762658" w:rsidRPr="008D0C3B">
        <w:rPr>
          <w:rFonts w:ascii="Times New Roman" w:hAnsi="Times New Roman" w:cs="Times New Roman" w:hint="eastAsia"/>
          <w:sz w:val="24"/>
        </w:rPr>
        <w:t>第一方阵城市</w:t>
      </w:r>
      <w:r w:rsidR="008973B6" w:rsidRPr="008D0C3B">
        <w:rPr>
          <w:rFonts w:ascii="Times New Roman" w:hAnsi="Times New Roman" w:cs="Times New Roman" w:hint="eastAsia"/>
          <w:sz w:val="24"/>
        </w:rPr>
        <w:t>供地量</w:t>
      </w:r>
      <w:r w:rsidR="00762658" w:rsidRPr="008D0C3B">
        <w:rPr>
          <w:rFonts w:ascii="Times New Roman" w:hAnsi="Times New Roman" w:cs="Times New Roman" w:hint="eastAsia"/>
          <w:sz w:val="24"/>
        </w:rPr>
        <w:t>总体优于第二方阵城市；第一方阵</w:t>
      </w:r>
      <w:r w:rsidR="00FC0BB4" w:rsidRPr="008D0C3B">
        <w:rPr>
          <w:rFonts w:ascii="Times New Roman" w:hAnsi="Times New Roman" w:cs="Times New Roman" w:hint="eastAsia"/>
          <w:sz w:val="24"/>
        </w:rPr>
        <w:t>苏州</w:t>
      </w:r>
      <w:r w:rsidR="00762658" w:rsidRPr="008D0C3B">
        <w:rPr>
          <w:rFonts w:ascii="Times New Roman" w:hAnsi="Times New Roman" w:cs="Times New Roman" w:hint="eastAsia"/>
          <w:sz w:val="24"/>
        </w:rPr>
        <w:t>市</w:t>
      </w:r>
      <w:r w:rsidR="00FC0BB4" w:rsidRPr="008D0C3B">
        <w:rPr>
          <w:rFonts w:ascii="Times New Roman" w:hAnsi="Times New Roman" w:cs="Times New Roman" w:hint="eastAsia"/>
          <w:sz w:val="24"/>
        </w:rPr>
        <w:t>房地产市场总体来看</w:t>
      </w:r>
      <w:r w:rsidR="00F716D6">
        <w:rPr>
          <w:rFonts w:ascii="Times New Roman" w:hAnsi="Times New Roman" w:cs="Times New Roman" w:hint="eastAsia"/>
          <w:sz w:val="24"/>
        </w:rPr>
        <w:t>市场愈发火热</w:t>
      </w:r>
      <w:r w:rsidR="00FC0BB4" w:rsidRPr="008D0C3B">
        <w:rPr>
          <w:rFonts w:ascii="Times New Roman" w:hAnsi="Times New Roman" w:cs="Times New Roman" w:hint="eastAsia"/>
          <w:sz w:val="24"/>
        </w:rPr>
        <w:t>，政府推地也更加果断，</w:t>
      </w:r>
      <w:r w:rsidR="00762658" w:rsidRPr="008D0C3B">
        <w:rPr>
          <w:rFonts w:ascii="Times New Roman" w:hAnsi="Times New Roman" w:cs="Times New Roman" w:hint="eastAsia"/>
          <w:sz w:val="24"/>
        </w:rPr>
        <w:t>而</w:t>
      </w:r>
      <w:r w:rsidR="00F716D6">
        <w:rPr>
          <w:rFonts w:ascii="Times New Roman" w:hAnsi="Times New Roman" w:cs="Times New Roman" w:hint="eastAsia"/>
          <w:sz w:val="24"/>
        </w:rPr>
        <w:t>无锡等城市</w:t>
      </w:r>
      <w:r w:rsidR="00FC0BB4" w:rsidRPr="008D0C3B">
        <w:rPr>
          <w:rFonts w:ascii="Times New Roman" w:hAnsi="Times New Roman" w:cs="Times New Roman" w:hint="eastAsia"/>
          <w:sz w:val="24"/>
        </w:rPr>
        <w:t>在市场不尽明朗的情况下继续采取谨慎推地的策略。</w:t>
      </w:r>
    </w:p>
    <w:p w:rsidR="00A01882" w:rsidRPr="00996567" w:rsidRDefault="004D6233" w:rsidP="008F29DD">
      <w:pPr>
        <w:spacing w:line="360" w:lineRule="auto"/>
        <w:ind w:firstLineChars="200" w:firstLine="480"/>
        <w:rPr>
          <w:sz w:val="24"/>
          <w:szCs w:val="24"/>
        </w:rPr>
      </w:pPr>
      <w:r>
        <w:rPr>
          <w:rFonts w:ascii="Times New Roman" w:hAnsi="Times New Roman" w:cs="Times New Roman" w:hint="eastAsia"/>
          <w:sz w:val="24"/>
        </w:rPr>
        <w:t>成交土地</w:t>
      </w:r>
      <w:r w:rsidR="009D0590">
        <w:rPr>
          <w:rFonts w:hint="eastAsia"/>
          <w:sz w:val="24"/>
          <w:szCs w:val="24"/>
        </w:rPr>
        <w:t>73</w:t>
      </w:r>
      <w:r w:rsidR="009D0590">
        <w:rPr>
          <w:rFonts w:hint="eastAsia"/>
          <w:sz w:val="24"/>
          <w:szCs w:val="24"/>
        </w:rPr>
        <w:t>宗，环比增长</w:t>
      </w:r>
      <w:r w:rsidR="009D0590">
        <w:rPr>
          <w:rFonts w:hint="eastAsia"/>
          <w:sz w:val="24"/>
          <w:szCs w:val="24"/>
        </w:rPr>
        <w:t>5.80%</w:t>
      </w:r>
      <w:r w:rsidR="009D0590">
        <w:rPr>
          <w:rFonts w:hint="eastAsia"/>
          <w:sz w:val="24"/>
          <w:szCs w:val="24"/>
        </w:rPr>
        <w:t>，同比下降</w:t>
      </w:r>
      <w:r w:rsidR="009D0590">
        <w:rPr>
          <w:rFonts w:hint="eastAsia"/>
          <w:sz w:val="24"/>
          <w:szCs w:val="24"/>
        </w:rPr>
        <w:t>19.78%</w:t>
      </w:r>
      <w:r w:rsidR="009D0590">
        <w:rPr>
          <w:rFonts w:hint="eastAsia"/>
          <w:sz w:val="24"/>
          <w:szCs w:val="24"/>
        </w:rPr>
        <w:t>；成交面积</w:t>
      </w:r>
      <w:r w:rsidR="009D0590" w:rsidRPr="009D0590">
        <w:rPr>
          <w:sz w:val="24"/>
          <w:szCs w:val="24"/>
        </w:rPr>
        <w:t>319.41</w:t>
      </w:r>
      <w:r w:rsidR="009D0590">
        <w:rPr>
          <w:rFonts w:hint="eastAsia"/>
          <w:sz w:val="24"/>
          <w:szCs w:val="24"/>
        </w:rPr>
        <w:t>万</w:t>
      </w:r>
      <w:r w:rsidR="009D0590">
        <w:rPr>
          <w:rFonts w:hint="eastAsia"/>
          <w:sz w:val="24"/>
          <w:szCs w:val="24"/>
        </w:rPr>
        <w:t>m</w:t>
      </w:r>
      <w:r w:rsidR="009D0590">
        <w:rPr>
          <w:rFonts w:hint="eastAsia"/>
          <w:sz w:val="24"/>
          <w:szCs w:val="24"/>
          <w:vertAlign w:val="superscript"/>
        </w:rPr>
        <w:t>2</w:t>
      </w:r>
      <w:r w:rsidR="009D0590">
        <w:rPr>
          <w:rFonts w:hint="eastAsia"/>
          <w:sz w:val="24"/>
          <w:szCs w:val="24"/>
        </w:rPr>
        <w:t>，环比增长</w:t>
      </w:r>
      <w:r w:rsidR="009D0590" w:rsidRPr="009D0590">
        <w:rPr>
          <w:sz w:val="24"/>
          <w:szCs w:val="24"/>
        </w:rPr>
        <w:t>12.68%</w:t>
      </w:r>
      <w:r w:rsidR="009D0590">
        <w:rPr>
          <w:rFonts w:hint="eastAsia"/>
          <w:sz w:val="24"/>
          <w:szCs w:val="24"/>
        </w:rPr>
        <w:t>，</w:t>
      </w:r>
      <w:r w:rsidR="009D0590" w:rsidRPr="00996567">
        <w:rPr>
          <w:rFonts w:hint="eastAsia"/>
          <w:sz w:val="24"/>
          <w:szCs w:val="24"/>
        </w:rPr>
        <w:t>同比下跌</w:t>
      </w:r>
      <w:r w:rsidR="009D0590" w:rsidRPr="00996567">
        <w:rPr>
          <w:rFonts w:hint="eastAsia"/>
          <w:sz w:val="24"/>
          <w:szCs w:val="24"/>
        </w:rPr>
        <w:t>16.53%</w:t>
      </w:r>
      <w:r w:rsidR="00415DF1" w:rsidRPr="00996567">
        <w:rPr>
          <w:rFonts w:hint="eastAsia"/>
          <w:sz w:val="24"/>
          <w:szCs w:val="24"/>
        </w:rPr>
        <w:t>。</w:t>
      </w:r>
      <w:r w:rsidR="00AC2328" w:rsidRPr="00996567">
        <w:rPr>
          <w:rFonts w:hint="eastAsia"/>
          <w:sz w:val="24"/>
          <w:szCs w:val="24"/>
        </w:rPr>
        <w:t>与</w:t>
      </w:r>
      <w:r w:rsidR="00AC2328" w:rsidRPr="00996567">
        <w:rPr>
          <w:rFonts w:hint="eastAsia"/>
          <w:sz w:val="24"/>
          <w:szCs w:val="24"/>
        </w:rPr>
        <w:t>2014</w:t>
      </w:r>
      <w:r w:rsidR="00AC2328" w:rsidRPr="00996567">
        <w:rPr>
          <w:rFonts w:hint="eastAsia"/>
          <w:sz w:val="24"/>
          <w:szCs w:val="24"/>
        </w:rPr>
        <w:t>年同期相比，受供地明显减少的影响，成交土地量也明显下降</w:t>
      </w:r>
      <w:r w:rsidR="009C1B96" w:rsidRPr="00996567">
        <w:rPr>
          <w:rFonts w:hint="eastAsia"/>
          <w:sz w:val="24"/>
          <w:szCs w:val="24"/>
        </w:rPr>
        <w:t>。</w:t>
      </w:r>
    </w:p>
    <w:p w:rsidR="003A77E3" w:rsidRDefault="00A01882" w:rsidP="0077238F">
      <w:pPr>
        <w:spacing w:line="360" w:lineRule="auto"/>
        <w:ind w:firstLineChars="200" w:firstLine="480"/>
        <w:rPr>
          <w:rFonts w:hint="eastAsia"/>
          <w:sz w:val="24"/>
          <w:szCs w:val="24"/>
        </w:rPr>
      </w:pPr>
      <w:r w:rsidRPr="00996567">
        <w:rPr>
          <w:rFonts w:hint="eastAsia"/>
          <w:sz w:val="24"/>
          <w:szCs w:val="24"/>
        </w:rPr>
        <w:t>流拍土地</w:t>
      </w:r>
      <w:r w:rsidR="00E73A91" w:rsidRPr="00996567">
        <w:rPr>
          <w:rFonts w:hint="eastAsia"/>
          <w:sz w:val="24"/>
          <w:szCs w:val="24"/>
        </w:rPr>
        <w:t>9</w:t>
      </w:r>
      <w:r w:rsidR="00B71F64" w:rsidRPr="00996567">
        <w:rPr>
          <w:rFonts w:hint="eastAsia"/>
          <w:sz w:val="24"/>
          <w:szCs w:val="24"/>
        </w:rPr>
        <w:t>宗，流拍率</w:t>
      </w:r>
      <w:r w:rsidR="00E73A91" w:rsidRPr="00996567">
        <w:rPr>
          <w:rFonts w:hint="eastAsia"/>
          <w:sz w:val="24"/>
          <w:szCs w:val="24"/>
        </w:rPr>
        <w:t>10.97</w:t>
      </w:r>
      <w:r w:rsidR="00B71F64" w:rsidRPr="00996567">
        <w:rPr>
          <w:rFonts w:hint="eastAsia"/>
          <w:sz w:val="24"/>
          <w:szCs w:val="24"/>
        </w:rPr>
        <w:t>%</w:t>
      </w:r>
      <w:r w:rsidR="00B71F64" w:rsidRPr="00996567">
        <w:rPr>
          <w:rFonts w:hint="eastAsia"/>
          <w:sz w:val="24"/>
          <w:szCs w:val="24"/>
        </w:rPr>
        <w:t>，在政府谨慎推地的背景下总体不高。流</w:t>
      </w:r>
      <w:proofErr w:type="gramStart"/>
      <w:r w:rsidR="00B71F64" w:rsidRPr="00996567">
        <w:rPr>
          <w:rFonts w:hint="eastAsia"/>
          <w:sz w:val="24"/>
          <w:szCs w:val="24"/>
        </w:rPr>
        <w:t>拍土地</w:t>
      </w:r>
      <w:proofErr w:type="gramEnd"/>
      <w:r w:rsidR="00B71F64" w:rsidRPr="00996567">
        <w:rPr>
          <w:rFonts w:hint="eastAsia"/>
          <w:sz w:val="24"/>
          <w:szCs w:val="24"/>
        </w:rPr>
        <w:t>主要集中在第一方阵城市，其中苏州市和南京市因供应土地较多，</w:t>
      </w:r>
      <w:r w:rsidR="008D0C3B" w:rsidRPr="00996567">
        <w:rPr>
          <w:rFonts w:hint="eastAsia"/>
          <w:sz w:val="24"/>
          <w:szCs w:val="24"/>
        </w:rPr>
        <w:t>分别</w:t>
      </w:r>
      <w:r w:rsidR="00B71F64" w:rsidRPr="00996567">
        <w:rPr>
          <w:rFonts w:hint="eastAsia"/>
          <w:sz w:val="24"/>
          <w:szCs w:val="24"/>
        </w:rPr>
        <w:t>出现</w:t>
      </w:r>
      <w:r w:rsidR="00B71F64" w:rsidRPr="00996567">
        <w:rPr>
          <w:rFonts w:hint="eastAsia"/>
          <w:sz w:val="24"/>
          <w:szCs w:val="24"/>
        </w:rPr>
        <w:t>3</w:t>
      </w:r>
      <w:r w:rsidR="00B71F64" w:rsidRPr="00996567">
        <w:rPr>
          <w:rFonts w:hint="eastAsia"/>
          <w:sz w:val="24"/>
          <w:szCs w:val="24"/>
        </w:rPr>
        <w:t>宗地</w:t>
      </w:r>
      <w:r w:rsidR="008D0C3B" w:rsidRPr="00996567">
        <w:rPr>
          <w:rFonts w:hint="eastAsia"/>
          <w:sz w:val="24"/>
          <w:szCs w:val="24"/>
        </w:rPr>
        <w:t>和</w:t>
      </w:r>
      <w:r w:rsidR="008D0C3B" w:rsidRPr="00996567">
        <w:rPr>
          <w:rFonts w:hint="eastAsia"/>
          <w:sz w:val="24"/>
          <w:szCs w:val="24"/>
        </w:rPr>
        <w:t>4</w:t>
      </w:r>
      <w:r w:rsidR="008D0C3B" w:rsidRPr="00996567">
        <w:rPr>
          <w:rFonts w:hint="eastAsia"/>
          <w:sz w:val="24"/>
          <w:szCs w:val="24"/>
        </w:rPr>
        <w:t>宗地</w:t>
      </w:r>
      <w:r w:rsidR="00B71F64" w:rsidRPr="00996567">
        <w:rPr>
          <w:rFonts w:hint="eastAsia"/>
          <w:sz w:val="24"/>
          <w:szCs w:val="24"/>
        </w:rPr>
        <w:t>流拍，</w:t>
      </w:r>
      <w:r w:rsidR="00996567" w:rsidRPr="00996567">
        <w:rPr>
          <w:rFonts w:hint="eastAsia"/>
          <w:sz w:val="24"/>
          <w:szCs w:val="24"/>
        </w:rPr>
        <w:t>第</w:t>
      </w:r>
      <w:r w:rsidR="00F716D6">
        <w:rPr>
          <w:rFonts w:hint="eastAsia"/>
          <w:sz w:val="24"/>
          <w:szCs w:val="24"/>
        </w:rPr>
        <w:t>二</w:t>
      </w:r>
      <w:r w:rsidR="00996567" w:rsidRPr="00996567">
        <w:rPr>
          <w:rFonts w:hint="eastAsia"/>
          <w:sz w:val="24"/>
          <w:szCs w:val="24"/>
        </w:rPr>
        <w:t>方阵城市</w:t>
      </w:r>
      <w:r w:rsidR="00996567">
        <w:rPr>
          <w:rFonts w:hint="eastAsia"/>
          <w:sz w:val="24"/>
          <w:szCs w:val="24"/>
        </w:rPr>
        <w:t>中，</w:t>
      </w:r>
      <w:r w:rsidR="008D0C3B" w:rsidRPr="00996567">
        <w:rPr>
          <w:rFonts w:hint="eastAsia"/>
          <w:sz w:val="24"/>
          <w:szCs w:val="24"/>
        </w:rPr>
        <w:t>常州</w:t>
      </w:r>
      <w:r w:rsidR="00B71F64" w:rsidRPr="00996567">
        <w:rPr>
          <w:rFonts w:hint="eastAsia"/>
          <w:sz w:val="24"/>
          <w:szCs w:val="24"/>
        </w:rPr>
        <w:t>市出现</w:t>
      </w:r>
      <w:r w:rsidR="00996567">
        <w:rPr>
          <w:rFonts w:hint="eastAsia"/>
          <w:sz w:val="24"/>
          <w:szCs w:val="24"/>
        </w:rPr>
        <w:t>2</w:t>
      </w:r>
      <w:r w:rsidR="00B71F64" w:rsidRPr="00996567">
        <w:rPr>
          <w:rFonts w:hint="eastAsia"/>
          <w:sz w:val="24"/>
          <w:szCs w:val="24"/>
        </w:rPr>
        <w:t>宗地流拍。</w:t>
      </w:r>
    </w:p>
    <w:p w:rsidR="0077238F" w:rsidRDefault="00132016" w:rsidP="0077238F">
      <w:pPr>
        <w:spacing w:line="360" w:lineRule="auto"/>
        <w:ind w:firstLineChars="200" w:firstLine="480"/>
        <w:rPr>
          <w:sz w:val="24"/>
          <w:szCs w:val="24"/>
        </w:rPr>
      </w:pPr>
      <w:r>
        <w:rPr>
          <w:rFonts w:hint="eastAsia"/>
          <w:sz w:val="24"/>
          <w:szCs w:val="24"/>
        </w:rPr>
        <w:t xml:space="preserve"> </w:t>
      </w:r>
    </w:p>
    <w:p w:rsidR="00664BCB" w:rsidRDefault="00664BCB" w:rsidP="007C5492">
      <w:pPr>
        <w:spacing w:line="440" w:lineRule="exact"/>
        <w:jc w:val="center"/>
        <w:rPr>
          <w:rFonts w:ascii="Times New Roman" w:hAnsi="Times New Roman" w:cs="Times New Roman" w:hint="eastAsia"/>
          <w:b/>
          <w:szCs w:val="21"/>
        </w:rPr>
      </w:pPr>
    </w:p>
    <w:p w:rsidR="007C5492" w:rsidRPr="00451929" w:rsidRDefault="007C5492" w:rsidP="007C5492">
      <w:pPr>
        <w:spacing w:line="440" w:lineRule="exact"/>
        <w:jc w:val="center"/>
        <w:rPr>
          <w:rFonts w:ascii="Times New Roman" w:hAnsi="Times New Roman" w:cs="Times New Roman"/>
          <w:b/>
          <w:szCs w:val="21"/>
        </w:rPr>
      </w:pPr>
      <w:r w:rsidRPr="00451929">
        <w:rPr>
          <w:rFonts w:ascii="Times New Roman" w:hAnsi="Times New Roman" w:cs="Times New Roman"/>
          <w:b/>
          <w:szCs w:val="21"/>
        </w:rPr>
        <w:lastRenderedPageBreak/>
        <w:t>表</w:t>
      </w:r>
      <w:r>
        <w:rPr>
          <w:rFonts w:ascii="Times New Roman" w:hAnsi="Times New Roman" w:cs="Times New Roman" w:hint="eastAsia"/>
          <w:b/>
          <w:szCs w:val="21"/>
        </w:rPr>
        <w:t xml:space="preserve">1 </w:t>
      </w:r>
      <w:r w:rsidRPr="00451929">
        <w:rPr>
          <w:rFonts w:ascii="Times New Roman" w:hAnsi="Times New Roman" w:cs="Times New Roman"/>
          <w:b/>
          <w:szCs w:val="21"/>
        </w:rPr>
        <w:t xml:space="preserve"> 2015</w:t>
      </w:r>
      <w:r w:rsidRPr="00451929">
        <w:rPr>
          <w:rFonts w:ascii="Times New Roman" w:hAnsi="Times New Roman" w:cs="Times New Roman"/>
          <w:b/>
          <w:szCs w:val="21"/>
        </w:rPr>
        <w:t>年第</w:t>
      </w:r>
      <w:r w:rsidR="00664BCB">
        <w:rPr>
          <w:rFonts w:ascii="Times New Roman" w:hAnsi="Times New Roman" w:cs="Times New Roman" w:hint="eastAsia"/>
          <w:b/>
          <w:szCs w:val="21"/>
        </w:rPr>
        <w:t>三</w:t>
      </w:r>
      <w:r w:rsidRPr="00451929">
        <w:rPr>
          <w:rFonts w:ascii="Times New Roman" w:hAnsi="Times New Roman" w:cs="Times New Roman"/>
          <w:b/>
          <w:szCs w:val="21"/>
        </w:rPr>
        <w:t>季度苏</w:t>
      </w:r>
      <w:proofErr w:type="gramStart"/>
      <w:r w:rsidRPr="00451929">
        <w:rPr>
          <w:rFonts w:ascii="Times New Roman" w:hAnsi="Times New Roman" w:cs="Times New Roman"/>
          <w:b/>
          <w:szCs w:val="21"/>
        </w:rPr>
        <w:t>南城市</w:t>
      </w:r>
      <w:proofErr w:type="gramEnd"/>
      <w:r w:rsidRPr="00451929">
        <w:rPr>
          <w:rFonts w:ascii="Times New Roman" w:hAnsi="Times New Roman" w:cs="Times New Roman"/>
          <w:b/>
          <w:szCs w:val="21"/>
        </w:rPr>
        <w:t>土地交易情况</w:t>
      </w:r>
    </w:p>
    <w:tbl>
      <w:tblPr>
        <w:tblW w:w="5000" w:type="pct"/>
        <w:tblLayout w:type="fixed"/>
        <w:tblLook w:val="04A0" w:firstRow="1" w:lastRow="0" w:firstColumn="1" w:lastColumn="0" w:noHBand="0" w:noVBand="1"/>
      </w:tblPr>
      <w:tblGrid>
        <w:gridCol w:w="781"/>
        <w:gridCol w:w="701"/>
        <w:gridCol w:w="685"/>
        <w:gridCol w:w="919"/>
        <w:gridCol w:w="709"/>
        <w:gridCol w:w="849"/>
        <w:gridCol w:w="1135"/>
        <w:gridCol w:w="850"/>
        <w:gridCol w:w="1135"/>
        <w:gridCol w:w="758"/>
      </w:tblGrid>
      <w:tr w:rsidR="007C5492" w:rsidRPr="007C5492" w:rsidTr="007C5492">
        <w:trPr>
          <w:trHeight w:val="585"/>
        </w:trPr>
        <w:tc>
          <w:tcPr>
            <w:tcW w:w="458" w:type="pct"/>
            <w:tcBorders>
              <w:top w:val="single" w:sz="4" w:space="0" w:color="auto"/>
              <w:left w:val="single" w:sz="4" w:space="0" w:color="auto"/>
              <w:bottom w:val="single" w:sz="4" w:space="0" w:color="auto"/>
              <w:right w:val="single" w:sz="4" w:space="0" w:color="auto"/>
            </w:tcBorders>
            <w:shd w:val="clear" w:color="000000" w:fill="C4BD97"/>
            <w:noWrap/>
            <w:vAlign w:val="center"/>
            <w:hideMark/>
          </w:tcPr>
          <w:p w:rsidR="007C5492" w:rsidRPr="007C5492" w:rsidRDefault="007C5492" w:rsidP="007C5492">
            <w:pPr>
              <w:widowControl/>
              <w:jc w:val="center"/>
              <w:rPr>
                <w:rFonts w:ascii="宋体" w:eastAsia="宋体" w:hAnsi="宋体" w:cs="宋体"/>
                <w:b/>
                <w:bCs/>
                <w:color w:val="000000"/>
                <w:kern w:val="0"/>
                <w:szCs w:val="21"/>
              </w:rPr>
            </w:pPr>
            <w:r w:rsidRPr="007C5492">
              <w:rPr>
                <w:rFonts w:ascii="宋体" w:eastAsia="宋体" w:hAnsi="宋体" w:cs="宋体" w:hint="eastAsia"/>
                <w:b/>
                <w:bCs/>
                <w:color w:val="000000"/>
                <w:kern w:val="0"/>
                <w:szCs w:val="21"/>
              </w:rPr>
              <w:t>分类</w:t>
            </w:r>
          </w:p>
        </w:tc>
        <w:tc>
          <w:tcPr>
            <w:tcW w:w="411" w:type="pct"/>
            <w:tcBorders>
              <w:top w:val="single" w:sz="4" w:space="0" w:color="auto"/>
              <w:left w:val="nil"/>
              <w:bottom w:val="single" w:sz="4" w:space="0" w:color="auto"/>
              <w:right w:val="single" w:sz="4" w:space="0" w:color="auto"/>
            </w:tcBorders>
            <w:shd w:val="clear" w:color="000000" w:fill="C4BD97"/>
            <w:vAlign w:val="center"/>
            <w:hideMark/>
          </w:tcPr>
          <w:p w:rsidR="007C5492" w:rsidRPr="007C5492" w:rsidRDefault="007C5492" w:rsidP="007C5492">
            <w:pPr>
              <w:widowControl/>
              <w:jc w:val="center"/>
              <w:rPr>
                <w:rFonts w:ascii="宋体" w:eastAsia="宋体" w:hAnsi="宋体" w:cs="宋体"/>
                <w:b/>
                <w:bCs/>
                <w:color w:val="000000"/>
                <w:kern w:val="0"/>
                <w:szCs w:val="21"/>
              </w:rPr>
            </w:pPr>
            <w:r w:rsidRPr="007C5492">
              <w:rPr>
                <w:rFonts w:ascii="宋体" w:eastAsia="宋体" w:hAnsi="宋体" w:cs="宋体" w:hint="eastAsia"/>
                <w:b/>
                <w:bCs/>
                <w:color w:val="000000"/>
                <w:kern w:val="0"/>
                <w:szCs w:val="21"/>
              </w:rPr>
              <w:t>城市</w:t>
            </w:r>
          </w:p>
        </w:tc>
        <w:tc>
          <w:tcPr>
            <w:tcW w:w="402" w:type="pct"/>
            <w:tcBorders>
              <w:top w:val="single" w:sz="4" w:space="0" w:color="auto"/>
              <w:left w:val="nil"/>
              <w:bottom w:val="single" w:sz="4" w:space="0" w:color="auto"/>
              <w:right w:val="single" w:sz="4" w:space="0" w:color="auto"/>
            </w:tcBorders>
            <w:shd w:val="clear" w:color="000000" w:fill="C4BD97"/>
            <w:vAlign w:val="center"/>
            <w:hideMark/>
          </w:tcPr>
          <w:p w:rsidR="007C5492" w:rsidRPr="007C5492" w:rsidRDefault="007C5492" w:rsidP="007C5492">
            <w:pPr>
              <w:widowControl/>
              <w:jc w:val="center"/>
              <w:rPr>
                <w:rFonts w:ascii="宋体" w:eastAsia="宋体" w:hAnsi="宋体" w:cs="宋体"/>
                <w:b/>
                <w:bCs/>
                <w:color w:val="000000"/>
                <w:kern w:val="0"/>
                <w:szCs w:val="21"/>
              </w:rPr>
            </w:pPr>
            <w:r w:rsidRPr="007C5492">
              <w:rPr>
                <w:rFonts w:ascii="宋体" w:eastAsia="宋体" w:hAnsi="宋体" w:cs="宋体" w:hint="eastAsia"/>
                <w:b/>
                <w:bCs/>
                <w:color w:val="000000"/>
                <w:kern w:val="0"/>
                <w:szCs w:val="21"/>
              </w:rPr>
              <w:t>供应宗地</w:t>
            </w:r>
          </w:p>
        </w:tc>
        <w:tc>
          <w:tcPr>
            <w:tcW w:w="539" w:type="pct"/>
            <w:tcBorders>
              <w:top w:val="single" w:sz="4" w:space="0" w:color="auto"/>
              <w:left w:val="nil"/>
              <w:bottom w:val="single" w:sz="4" w:space="0" w:color="auto"/>
              <w:right w:val="single" w:sz="4" w:space="0" w:color="auto"/>
            </w:tcBorders>
            <w:shd w:val="clear" w:color="000000" w:fill="C4BD97"/>
            <w:vAlign w:val="center"/>
            <w:hideMark/>
          </w:tcPr>
          <w:p w:rsidR="007C5492" w:rsidRPr="007C5492" w:rsidRDefault="007C5492" w:rsidP="007C5492">
            <w:pPr>
              <w:widowControl/>
              <w:jc w:val="center"/>
              <w:rPr>
                <w:rFonts w:ascii="宋体" w:eastAsia="宋体" w:hAnsi="宋体" w:cs="宋体"/>
                <w:b/>
                <w:bCs/>
                <w:color w:val="000000"/>
                <w:kern w:val="0"/>
                <w:szCs w:val="21"/>
              </w:rPr>
            </w:pPr>
            <w:r w:rsidRPr="007C5492">
              <w:rPr>
                <w:rFonts w:ascii="宋体" w:eastAsia="宋体" w:hAnsi="宋体" w:cs="宋体" w:hint="eastAsia"/>
                <w:b/>
                <w:bCs/>
                <w:color w:val="000000"/>
                <w:kern w:val="0"/>
                <w:szCs w:val="21"/>
              </w:rPr>
              <w:t>供应面积（万m</w:t>
            </w:r>
            <w:r w:rsidRPr="007C5492">
              <w:rPr>
                <w:rFonts w:ascii="宋体" w:eastAsia="宋体" w:hAnsi="宋体" w:cs="宋体" w:hint="eastAsia"/>
                <w:b/>
                <w:bCs/>
                <w:color w:val="000000"/>
                <w:kern w:val="0"/>
                <w:szCs w:val="21"/>
                <w:vertAlign w:val="superscript"/>
              </w:rPr>
              <w:t>2</w:t>
            </w:r>
            <w:r w:rsidRPr="007C5492">
              <w:rPr>
                <w:rFonts w:ascii="宋体" w:eastAsia="宋体" w:hAnsi="宋体" w:cs="宋体" w:hint="eastAsia"/>
                <w:b/>
                <w:bCs/>
                <w:color w:val="000000"/>
                <w:kern w:val="0"/>
                <w:szCs w:val="21"/>
              </w:rPr>
              <w:t>）</w:t>
            </w:r>
          </w:p>
        </w:tc>
        <w:tc>
          <w:tcPr>
            <w:tcW w:w="416" w:type="pct"/>
            <w:tcBorders>
              <w:top w:val="single" w:sz="4" w:space="0" w:color="auto"/>
              <w:left w:val="nil"/>
              <w:bottom w:val="single" w:sz="4" w:space="0" w:color="auto"/>
              <w:right w:val="single" w:sz="4" w:space="0" w:color="auto"/>
            </w:tcBorders>
            <w:shd w:val="clear" w:color="000000" w:fill="C4BD97"/>
            <w:vAlign w:val="center"/>
            <w:hideMark/>
          </w:tcPr>
          <w:p w:rsidR="007C5492" w:rsidRPr="007C5492" w:rsidRDefault="007C5492" w:rsidP="007C5492">
            <w:pPr>
              <w:widowControl/>
              <w:jc w:val="center"/>
              <w:rPr>
                <w:rFonts w:ascii="宋体" w:eastAsia="宋体" w:hAnsi="宋体" w:cs="宋体"/>
                <w:b/>
                <w:bCs/>
                <w:color w:val="000000"/>
                <w:kern w:val="0"/>
                <w:szCs w:val="21"/>
              </w:rPr>
            </w:pPr>
            <w:r w:rsidRPr="007C5492">
              <w:rPr>
                <w:rFonts w:ascii="宋体" w:eastAsia="宋体" w:hAnsi="宋体" w:cs="宋体" w:hint="eastAsia"/>
                <w:b/>
                <w:bCs/>
                <w:color w:val="000000"/>
                <w:kern w:val="0"/>
                <w:szCs w:val="21"/>
              </w:rPr>
              <w:t>成交宗地</w:t>
            </w:r>
          </w:p>
        </w:tc>
        <w:tc>
          <w:tcPr>
            <w:tcW w:w="498" w:type="pct"/>
            <w:tcBorders>
              <w:top w:val="single" w:sz="4" w:space="0" w:color="auto"/>
              <w:left w:val="nil"/>
              <w:bottom w:val="single" w:sz="4" w:space="0" w:color="auto"/>
              <w:right w:val="single" w:sz="4" w:space="0" w:color="auto"/>
            </w:tcBorders>
            <w:shd w:val="clear" w:color="000000" w:fill="C4BD97"/>
            <w:vAlign w:val="center"/>
            <w:hideMark/>
          </w:tcPr>
          <w:p w:rsidR="007C5492" w:rsidRPr="007C5492" w:rsidRDefault="007C5492" w:rsidP="007C5492">
            <w:pPr>
              <w:widowControl/>
              <w:jc w:val="center"/>
              <w:rPr>
                <w:rFonts w:ascii="宋体" w:eastAsia="宋体" w:hAnsi="宋体" w:cs="宋体"/>
                <w:b/>
                <w:bCs/>
                <w:color w:val="000000"/>
                <w:kern w:val="0"/>
                <w:szCs w:val="21"/>
              </w:rPr>
            </w:pPr>
            <w:r w:rsidRPr="007C5492">
              <w:rPr>
                <w:rFonts w:ascii="宋体" w:eastAsia="宋体" w:hAnsi="宋体" w:cs="宋体" w:hint="eastAsia"/>
                <w:b/>
                <w:bCs/>
                <w:color w:val="000000"/>
                <w:kern w:val="0"/>
                <w:szCs w:val="21"/>
              </w:rPr>
              <w:t>成交面积（万m</w:t>
            </w:r>
            <w:r w:rsidRPr="007C5492">
              <w:rPr>
                <w:rFonts w:ascii="宋体" w:eastAsia="宋体" w:hAnsi="宋体" w:cs="宋体" w:hint="eastAsia"/>
                <w:b/>
                <w:bCs/>
                <w:color w:val="000000"/>
                <w:kern w:val="0"/>
                <w:szCs w:val="21"/>
                <w:vertAlign w:val="superscript"/>
              </w:rPr>
              <w:t>2</w:t>
            </w:r>
            <w:r w:rsidRPr="007C5492">
              <w:rPr>
                <w:rFonts w:ascii="宋体" w:eastAsia="宋体" w:hAnsi="宋体" w:cs="宋体" w:hint="eastAsia"/>
                <w:b/>
                <w:bCs/>
                <w:color w:val="000000"/>
                <w:kern w:val="0"/>
                <w:szCs w:val="21"/>
              </w:rPr>
              <w:t>）</w:t>
            </w:r>
          </w:p>
        </w:tc>
        <w:tc>
          <w:tcPr>
            <w:tcW w:w="666" w:type="pct"/>
            <w:tcBorders>
              <w:top w:val="single" w:sz="4" w:space="0" w:color="auto"/>
              <w:left w:val="nil"/>
              <w:bottom w:val="single" w:sz="4" w:space="0" w:color="auto"/>
              <w:right w:val="single" w:sz="4" w:space="0" w:color="auto"/>
            </w:tcBorders>
            <w:shd w:val="clear" w:color="000000" w:fill="C4BD97"/>
            <w:vAlign w:val="center"/>
            <w:hideMark/>
          </w:tcPr>
          <w:p w:rsidR="007C5492" w:rsidRPr="007C5492" w:rsidRDefault="007C5492" w:rsidP="007C5492">
            <w:pPr>
              <w:widowControl/>
              <w:jc w:val="center"/>
              <w:rPr>
                <w:rFonts w:ascii="宋体" w:eastAsia="宋体" w:hAnsi="宋体" w:cs="宋体"/>
                <w:b/>
                <w:bCs/>
                <w:color w:val="000000"/>
                <w:kern w:val="0"/>
                <w:szCs w:val="21"/>
              </w:rPr>
            </w:pPr>
            <w:r w:rsidRPr="007C5492">
              <w:rPr>
                <w:rFonts w:ascii="宋体" w:eastAsia="宋体" w:hAnsi="宋体" w:cs="宋体" w:hint="eastAsia"/>
                <w:b/>
                <w:bCs/>
                <w:color w:val="000000"/>
                <w:kern w:val="0"/>
                <w:szCs w:val="21"/>
              </w:rPr>
              <w:t>成交面积环比</w:t>
            </w:r>
          </w:p>
        </w:tc>
        <w:tc>
          <w:tcPr>
            <w:tcW w:w="499" w:type="pct"/>
            <w:tcBorders>
              <w:top w:val="single" w:sz="4" w:space="0" w:color="auto"/>
              <w:left w:val="nil"/>
              <w:bottom w:val="single" w:sz="4" w:space="0" w:color="auto"/>
              <w:right w:val="single" w:sz="4" w:space="0" w:color="auto"/>
            </w:tcBorders>
            <w:shd w:val="clear" w:color="000000" w:fill="C4BD97"/>
            <w:vAlign w:val="center"/>
            <w:hideMark/>
          </w:tcPr>
          <w:p w:rsidR="007C5492" w:rsidRPr="007C5492" w:rsidRDefault="007C5492" w:rsidP="007C5492">
            <w:pPr>
              <w:widowControl/>
              <w:jc w:val="center"/>
              <w:rPr>
                <w:rFonts w:ascii="宋体" w:eastAsia="宋体" w:hAnsi="宋体" w:cs="宋体"/>
                <w:b/>
                <w:bCs/>
                <w:color w:val="000000"/>
                <w:kern w:val="0"/>
                <w:szCs w:val="21"/>
              </w:rPr>
            </w:pPr>
            <w:r w:rsidRPr="007C5492">
              <w:rPr>
                <w:rFonts w:ascii="宋体" w:eastAsia="宋体" w:hAnsi="宋体" w:cs="宋体" w:hint="eastAsia"/>
                <w:b/>
                <w:bCs/>
                <w:color w:val="000000"/>
                <w:kern w:val="0"/>
                <w:szCs w:val="21"/>
              </w:rPr>
              <w:t>成交金额（亿元）</w:t>
            </w:r>
          </w:p>
        </w:tc>
        <w:tc>
          <w:tcPr>
            <w:tcW w:w="666" w:type="pct"/>
            <w:tcBorders>
              <w:top w:val="single" w:sz="4" w:space="0" w:color="auto"/>
              <w:left w:val="nil"/>
              <w:bottom w:val="single" w:sz="4" w:space="0" w:color="auto"/>
              <w:right w:val="single" w:sz="4" w:space="0" w:color="auto"/>
            </w:tcBorders>
            <w:shd w:val="clear" w:color="000000" w:fill="C4BD97"/>
            <w:vAlign w:val="center"/>
            <w:hideMark/>
          </w:tcPr>
          <w:p w:rsidR="007C5492" w:rsidRPr="007C5492" w:rsidRDefault="007C5492" w:rsidP="007C5492">
            <w:pPr>
              <w:widowControl/>
              <w:jc w:val="center"/>
              <w:rPr>
                <w:rFonts w:ascii="宋体" w:eastAsia="宋体" w:hAnsi="宋体" w:cs="宋体"/>
                <w:b/>
                <w:bCs/>
                <w:color w:val="000000"/>
                <w:kern w:val="0"/>
                <w:szCs w:val="21"/>
              </w:rPr>
            </w:pPr>
            <w:r w:rsidRPr="007C5492">
              <w:rPr>
                <w:rFonts w:ascii="宋体" w:eastAsia="宋体" w:hAnsi="宋体" w:cs="宋体" w:hint="eastAsia"/>
                <w:b/>
                <w:bCs/>
                <w:color w:val="000000"/>
                <w:kern w:val="0"/>
                <w:szCs w:val="21"/>
              </w:rPr>
              <w:t>成交额环比</w:t>
            </w:r>
          </w:p>
        </w:tc>
        <w:tc>
          <w:tcPr>
            <w:tcW w:w="445" w:type="pct"/>
            <w:tcBorders>
              <w:top w:val="single" w:sz="4" w:space="0" w:color="auto"/>
              <w:left w:val="nil"/>
              <w:bottom w:val="single" w:sz="4" w:space="0" w:color="auto"/>
              <w:right w:val="single" w:sz="4" w:space="0" w:color="auto"/>
            </w:tcBorders>
            <w:shd w:val="clear" w:color="000000" w:fill="C4BD97"/>
            <w:vAlign w:val="center"/>
            <w:hideMark/>
          </w:tcPr>
          <w:p w:rsidR="007C5492" w:rsidRPr="007C5492" w:rsidRDefault="007C5492" w:rsidP="007C5492">
            <w:pPr>
              <w:widowControl/>
              <w:jc w:val="center"/>
              <w:rPr>
                <w:rFonts w:ascii="宋体" w:eastAsia="宋体" w:hAnsi="宋体" w:cs="宋体"/>
                <w:b/>
                <w:bCs/>
                <w:color w:val="000000"/>
                <w:kern w:val="0"/>
                <w:szCs w:val="21"/>
              </w:rPr>
            </w:pPr>
            <w:r w:rsidRPr="007C5492">
              <w:rPr>
                <w:rFonts w:ascii="宋体" w:eastAsia="宋体" w:hAnsi="宋体" w:cs="宋体" w:hint="eastAsia"/>
                <w:b/>
                <w:bCs/>
                <w:color w:val="000000"/>
                <w:kern w:val="0"/>
                <w:szCs w:val="21"/>
              </w:rPr>
              <w:t>溢价宗地</w:t>
            </w:r>
          </w:p>
        </w:tc>
      </w:tr>
      <w:tr w:rsidR="00E30634" w:rsidRPr="007C5492" w:rsidTr="007C5492">
        <w:trPr>
          <w:trHeight w:val="270"/>
        </w:trPr>
        <w:tc>
          <w:tcPr>
            <w:tcW w:w="458" w:type="pct"/>
            <w:vMerge w:val="restart"/>
            <w:tcBorders>
              <w:top w:val="nil"/>
              <w:left w:val="single" w:sz="4" w:space="0" w:color="auto"/>
              <w:bottom w:val="single" w:sz="4" w:space="0" w:color="auto"/>
              <w:right w:val="single" w:sz="4" w:space="0" w:color="auto"/>
            </w:tcBorders>
            <w:shd w:val="clear" w:color="000000" w:fill="C4BD97"/>
            <w:vAlign w:val="center"/>
            <w:hideMark/>
          </w:tcPr>
          <w:p w:rsidR="00E30634" w:rsidRPr="007C5492" w:rsidRDefault="00E30634" w:rsidP="007C5492">
            <w:pPr>
              <w:widowControl/>
              <w:jc w:val="center"/>
              <w:rPr>
                <w:rFonts w:ascii="宋体" w:eastAsia="宋体" w:hAnsi="宋体" w:cs="宋体"/>
                <w:b/>
                <w:bCs/>
                <w:color w:val="000000"/>
                <w:kern w:val="0"/>
                <w:szCs w:val="21"/>
              </w:rPr>
            </w:pPr>
            <w:r w:rsidRPr="007C5492">
              <w:rPr>
                <w:rFonts w:ascii="宋体" w:eastAsia="宋体" w:hAnsi="宋体" w:cs="宋体" w:hint="eastAsia"/>
                <w:b/>
                <w:bCs/>
                <w:color w:val="000000"/>
                <w:kern w:val="0"/>
                <w:szCs w:val="21"/>
              </w:rPr>
              <w:t>第一方阵</w:t>
            </w:r>
          </w:p>
        </w:tc>
        <w:tc>
          <w:tcPr>
            <w:tcW w:w="411" w:type="pct"/>
            <w:tcBorders>
              <w:top w:val="nil"/>
              <w:left w:val="nil"/>
              <w:bottom w:val="single" w:sz="4" w:space="0" w:color="auto"/>
              <w:right w:val="single" w:sz="4" w:space="0" w:color="auto"/>
            </w:tcBorders>
            <w:shd w:val="clear" w:color="auto" w:fill="auto"/>
            <w:noWrap/>
            <w:vAlign w:val="center"/>
            <w:hideMark/>
          </w:tcPr>
          <w:p w:rsidR="00E30634" w:rsidRDefault="00E30634">
            <w:pPr>
              <w:jc w:val="center"/>
              <w:rPr>
                <w:rFonts w:ascii="宋体" w:eastAsia="宋体" w:hAnsi="宋体" w:cs="宋体"/>
                <w:color w:val="000000"/>
                <w:sz w:val="22"/>
              </w:rPr>
            </w:pPr>
            <w:r>
              <w:rPr>
                <w:rFonts w:hint="eastAsia"/>
                <w:color w:val="000000"/>
                <w:sz w:val="22"/>
              </w:rPr>
              <w:t>南京</w:t>
            </w:r>
          </w:p>
        </w:tc>
        <w:tc>
          <w:tcPr>
            <w:tcW w:w="402" w:type="pct"/>
            <w:tcBorders>
              <w:top w:val="nil"/>
              <w:left w:val="nil"/>
              <w:bottom w:val="single" w:sz="4" w:space="0" w:color="auto"/>
              <w:right w:val="single" w:sz="4" w:space="0" w:color="auto"/>
            </w:tcBorders>
            <w:shd w:val="clear" w:color="auto" w:fill="auto"/>
            <w:noWrap/>
            <w:vAlign w:val="bottom"/>
            <w:hideMark/>
          </w:tcPr>
          <w:p w:rsidR="00E30634" w:rsidRDefault="00E30634">
            <w:pPr>
              <w:jc w:val="center"/>
              <w:rPr>
                <w:rFonts w:ascii="宋体" w:eastAsia="宋体" w:hAnsi="宋体" w:cs="宋体"/>
                <w:color w:val="000000"/>
                <w:sz w:val="22"/>
              </w:rPr>
            </w:pPr>
            <w:r>
              <w:rPr>
                <w:rFonts w:hint="eastAsia"/>
                <w:color w:val="000000"/>
                <w:sz w:val="22"/>
              </w:rPr>
              <w:t>21</w:t>
            </w:r>
          </w:p>
        </w:tc>
        <w:tc>
          <w:tcPr>
            <w:tcW w:w="539" w:type="pct"/>
            <w:tcBorders>
              <w:top w:val="nil"/>
              <w:left w:val="nil"/>
              <w:bottom w:val="single" w:sz="4" w:space="0" w:color="auto"/>
              <w:right w:val="single" w:sz="4" w:space="0" w:color="auto"/>
            </w:tcBorders>
            <w:shd w:val="clear" w:color="auto" w:fill="auto"/>
            <w:noWrap/>
            <w:vAlign w:val="bottom"/>
            <w:hideMark/>
          </w:tcPr>
          <w:p w:rsidR="00E30634" w:rsidRDefault="00E30634">
            <w:pPr>
              <w:jc w:val="center"/>
              <w:rPr>
                <w:rFonts w:ascii="宋体" w:eastAsia="宋体" w:hAnsi="宋体" w:cs="宋体"/>
                <w:color w:val="000000"/>
                <w:sz w:val="22"/>
              </w:rPr>
            </w:pPr>
            <w:r>
              <w:rPr>
                <w:rFonts w:hint="eastAsia"/>
                <w:color w:val="000000"/>
                <w:sz w:val="22"/>
              </w:rPr>
              <w:t>105.85</w:t>
            </w:r>
          </w:p>
        </w:tc>
        <w:tc>
          <w:tcPr>
            <w:tcW w:w="416" w:type="pct"/>
            <w:tcBorders>
              <w:top w:val="nil"/>
              <w:left w:val="nil"/>
              <w:bottom w:val="single" w:sz="4" w:space="0" w:color="auto"/>
              <w:right w:val="single" w:sz="4" w:space="0" w:color="auto"/>
            </w:tcBorders>
            <w:shd w:val="clear" w:color="auto" w:fill="auto"/>
            <w:noWrap/>
            <w:vAlign w:val="bottom"/>
            <w:hideMark/>
          </w:tcPr>
          <w:p w:rsidR="00E30634" w:rsidRDefault="00E30634">
            <w:pPr>
              <w:jc w:val="center"/>
              <w:rPr>
                <w:rFonts w:ascii="宋体" w:eastAsia="宋体" w:hAnsi="宋体" w:cs="宋体"/>
                <w:color w:val="000000"/>
                <w:sz w:val="22"/>
              </w:rPr>
            </w:pPr>
            <w:r>
              <w:rPr>
                <w:rFonts w:hint="eastAsia"/>
                <w:color w:val="000000"/>
                <w:sz w:val="22"/>
              </w:rPr>
              <w:t>17</w:t>
            </w:r>
          </w:p>
        </w:tc>
        <w:tc>
          <w:tcPr>
            <w:tcW w:w="498" w:type="pct"/>
            <w:tcBorders>
              <w:top w:val="nil"/>
              <w:left w:val="nil"/>
              <w:bottom w:val="single" w:sz="4" w:space="0" w:color="auto"/>
              <w:right w:val="single" w:sz="4" w:space="0" w:color="auto"/>
            </w:tcBorders>
            <w:shd w:val="clear" w:color="auto" w:fill="auto"/>
            <w:noWrap/>
            <w:vAlign w:val="bottom"/>
            <w:hideMark/>
          </w:tcPr>
          <w:p w:rsidR="00E30634" w:rsidRDefault="00E30634">
            <w:pPr>
              <w:jc w:val="center"/>
              <w:rPr>
                <w:rFonts w:ascii="宋体" w:eastAsia="宋体" w:hAnsi="宋体" w:cs="宋体"/>
                <w:color w:val="000000"/>
                <w:sz w:val="22"/>
              </w:rPr>
            </w:pPr>
            <w:r>
              <w:rPr>
                <w:rFonts w:hint="eastAsia"/>
                <w:color w:val="000000"/>
                <w:sz w:val="22"/>
              </w:rPr>
              <w:t>85.97</w:t>
            </w:r>
          </w:p>
        </w:tc>
        <w:tc>
          <w:tcPr>
            <w:tcW w:w="666" w:type="pct"/>
            <w:tcBorders>
              <w:top w:val="nil"/>
              <w:left w:val="nil"/>
              <w:bottom w:val="single" w:sz="4" w:space="0" w:color="auto"/>
              <w:right w:val="single" w:sz="4" w:space="0" w:color="auto"/>
            </w:tcBorders>
            <w:shd w:val="clear" w:color="auto" w:fill="auto"/>
            <w:noWrap/>
            <w:vAlign w:val="bottom"/>
            <w:hideMark/>
          </w:tcPr>
          <w:p w:rsidR="00E30634" w:rsidRDefault="00E30634">
            <w:pPr>
              <w:jc w:val="center"/>
              <w:rPr>
                <w:rFonts w:ascii="宋体" w:eastAsia="宋体" w:hAnsi="宋体" w:cs="宋体"/>
                <w:color w:val="000000"/>
                <w:sz w:val="22"/>
              </w:rPr>
            </w:pPr>
            <w:r>
              <w:rPr>
                <w:rFonts w:hint="eastAsia"/>
                <w:color w:val="000000"/>
                <w:sz w:val="22"/>
              </w:rPr>
              <w:t>27.53%</w:t>
            </w:r>
          </w:p>
        </w:tc>
        <w:tc>
          <w:tcPr>
            <w:tcW w:w="499" w:type="pct"/>
            <w:tcBorders>
              <w:top w:val="nil"/>
              <w:left w:val="nil"/>
              <w:bottom w:val="single" w:sz="4" w:space="0" w:color="auto"/>
              <w:right w:val="single" w:sz="4" w:space="0" w:color="auto"/>
            </w:tcBorders>
            <w:shd w:val="clear" w:color="auto" w:fill="auto"/>
            <w:noWrap/>
            <w:vAlign w:val="bottom"/>
            <w:hideMark/>
          </w:tcPr>
          <w:p w:rsidR="00E30634" w:rsidRDefault="00E30634">
            <w:pPr>
              <w:jc w:val="center"/>
              <w:rPr>
                <w:rFonts w:ascii="宋体" w:eastAsia="宋体" w:hAnsi="宋体" w:cs="宋体"/>
                <w:color w:val="000000"/>
                <w:sz w:val="22"/>
              </w:rPr>
            </w:pPr>
            <w:r>
              <w:rPr>
                <w:rFonts w:hint="eastAsia"/>
                <w:color w:val="000000"/>
                <w:sz w:val="22"/>
              </w:rPr>
              <w:t xml:space="preserve">191.24 </w:t>
            </w:r>
          </w:p>
        </w:tc>
        <w:tc>
          <w:tcPr>
            <w:tcW w:w="666" w:type="pct"/>
            <w:tcBorders>
              <w:top w:val="nil"/>
              <w:left w:val="nil"/>
              <w:bottom w:val="single" w:sz="4" w:space="0" w:color="auto"/>
              <w:right w:val="single" w:sz="4" w:space="0" w:color="auto"/>
            </w:tcBorders>
            <w:shd w:val="clear" w:color="auto" w:fill="auto"/>
            <w:noWrap/>
            <w:vAlign w:val="center"/>
            <w:hideMark/>
          </w:tcPr>
          <w:p w:rsidR="00E30634" w:rsidRDefault="00E30634">
            <w:pPr>
              <w:jc w:val="center"/>
              <w:rPr>
                <w:rFonts w:ascii="宋体" w:eastAsia="宋体" w:hAnsi="宋体" w:cs="宋体"/>
                <w:color w:val="000000"/>
                <w:sz w:val="22"/>
              </w:rPr>
            </w:pPr>
            <w:r>
              <w:rPr>
                <w:rFonts w:hint="eastAsia"/>
                <w:color w:val="000000"/>
                <w:sz w:val="22"/>
              </w:rPr>
              <w:t>63.99%</w:t>
            </w:r>
          </w:p>
        </w:tc>
        <w:tc>
          <w:tcPr>
            <w:tcW w:w="445" w:type="pct"/>
            <w:tcBorders>
              <w:top w:val="nil"/>
              <w:left w:val="nil"/>
              <w:bottom w:val="single" w:sz="4" w:space="0" w:color="auto"/>
              <w:right w:val="single" w:sz="4" w:space="0" w:color="auto"/>
            </w:tcBorders>
            <w:shd w:val="clear" w:color="auto" w:fill="auto"/>
            <w:noWrap/>
            <w:vAlign w:val="bottom"/>
            <w:hideMark/>
          </w:tcPr>
          <w:p w:rsidR="00E30634" w:rsidRDefault="00E30634">
            <w:pPr>
              <w:jc w:val="center"/>
              <w:rPr>
                <w:rFonts w:ascii="宋体" w:eastAsia="宋体" w:hAnsi="宋体" w:cs="宋体"/>
                <w:color w:val="000000"/>
                <w:sz w:val="22"/>
              </w:rPr>
            </w:pPr>
            <w:r>
              <w:rPr>
                <w:rFonts w:hint="eastAsia"/>
                <w:color w:val="000000"/>
                <w:sz w:val="22"/>
              </w:rPr>
              <w:t>13</w:t>
            </w:r>
          </w:p>
        </w:tc>
      </w:tr>
      <w:tr w:rsidR="00E30634" w:rsidRPr="007C5492" w:rsidTr="007C5492">
        <w:trPr>
          <w:trHeight w:val="270"/>
        </w:trPr>
        <w:tc>
          <w:tcPr>
            <w:tcW w:w="458" w:type="pct"/>
            <w:vMerge/>
            <w:tcBorders>
              <w:top w:val="nil"/>
              <w:left w:val="single" w:sz="4" w:space="0" w:color="auto"/>
              <w:bottom w:val="single" w:sz="4" w:space="0" w:color="auto"/>
              <w:right w:val="single" w:sz="4" w:space="0" w:color="auto"/>
            </w:tcBorders>
            <w:vAlign w:val="center"/>
            <w:hideMark/>
          </w:tcPr>
          <w:p w:rsidR="00E30634" w:rsidRPr="007C5492" w:rsidRDefault="00E30634" w:rsidP="007C5492">
            <w:pPr>
              <w:widowControl/>
              <w:jc w:val="left"/>
              <w:rPr>
                <w:rFonts w:ascii="宋体" w:eastAsia="宋体" w:hAnsi="宋体" w:cs="宋体"/>
                <w:b/>
                <w:bCs/>
                <w:color w:val="000000"/>
                <w:kern w:val="0"/>
                <w:szCs w:val="21"/>
              </w:rPr>
            </w:pPr>
          </w:p>
        </w:tc>
        <w:tc>
          <w:tcPr>
            <w:tcW w:w="411" w:type="pct"/>
            <w:tcBorders>
              <w:top w:val="nil"/>
              <w:left w:val="nil"/>
              <w:bottom w:val="single" w:sz="4" w:space="0" w:color="auto"/>
              <w:right w:val="single" w:sz="4" w:space="0" w:color="auto"/>
            </w:tcBorders>
            <w:shd w:val="clear" w:color="auto" w:fill="auto"/>
            <w:noWrap/>
            <w:vAlign w:val="center"/>
            <w:hideMark/>
          </w:tcPr>
          <w:p w:rsidR="00E30634" w:rsidRDefault="00E30634">
            <w:pPr>
              <w:jc w:val="center"/>
              <w:rPr>
                <w:rFonts w:ascii="宋体" w:eastAsia="宋体" w:hAnsi="宋体" w:cs="宋体"/>
                <w:color w:val="000000"/>
                <w:sz w:val="22"/>
              </w:rPr>
            </w:pPr>
            <w:r>
              <w:rPr>
                <w:rFonts w:hint="eastAsia"/>
                <w:color w:val="000000"/>
                <w:sz w:val="22"/>
              </w:rPr>
              <w:t>苏州</w:t>
            </w:r>
          </w:p>
        </w:tc>
        <w:tc>
          <w:tcPr>
            <w:tcW w:w="402" w:type="pct"/>
            <w:tcBorders>
              <w:top w:val="nil"/>
              <w:left w:val="nil"/>
              <w:bottom w:val="single" w:sz="4" w:space="0" w:color="auto"/>
              <w:right w:val="single" w:sz="4" w:space="0" w:color="auto"/>
            </w:tcBorders>
            <w:shd w:val="clear" w:color="auto" w:fill="auto"/>
            <w:noWrap/>
            <w:vAlign w:val="bottom"/>
            <w:hideMark/>
          </w:tcPr>
          <w:p w:rsidR="00E30634" w:rsidRDefault="00E30634">
            <w:pPr>
              <w:jc w:val="center"/>
              <w:rPr>
                <w:rFonts w:ascii="宋体" w:eastAsia="宋体" w:hAnsi="宋体" w:cs="宋体"/>
                <w:color w:val="000000"/>
                <w:sz w:val="22"/>
              </w:rPr>
            </w:pPr>
            <w:r>
              <w:rPr>
                <w:rFonts w:hint="eastAsia"/>
                <w:color w:val="000000"/>
                <w:sz w:val="22"/>
              </w:rPr>
              <w:t>30</w:t>
            </w:r>
          </w:p>
        </w:tc>
        <w:tc>
          <w:tcPr>
            <w:tcW w:w="539" w:type="pct"/>
            <w:tcBorders>
              <w:top w:val="nil"/>
              <w:left w:val="nil"/>
              <w:bottom w:val="single" w:sz="4" w:space="0" w:color="auto"/>
              <w:right w:val="single" w:sz="4" w:space="0" w:color="auto"/>
            </w:tcBorders>
            <w:shd w:val="clear" w:color="auto" w:fill="auto"/>
            <w:noWrap/>
            <w:vAlign w:val="bottom"/>
            <w:hideMark/>
          </w:tcPr>
          <w:p w:rsidR="00E30634" w:rsidRDefault="00E30634">
            <w:pPr>
              <w:jc w:val="center"/>
              <w:rPr>
                <w:rFonts w:ascii="宋体" w:eastAsia="宋体" w:hAnsi="宋体" w:cs="宋体"/>
                <w:color w:val="000000"/>
                <w:sz w:val="22"/>
              </w:rPr>
            </w:pPr>
            <w:r>
              <w:rPr>
                <w:rFonts w:hint="eastAsia"/>
                <w:color w:val="000000"/>
                <w:sz w:val="22"/>
              </w:rPr>
              <w:t>152.63</w:t>
            </w:r>
          </w:p>
        </w:tc>
        <w:tc>
          <w:tcPr>
            <w:tcW w:w="416" w:type="pct"/>
            <w:tcBorders>
              <w:top w:val="nil"/>
              <w:left w:val="nil"/>
              <w:bottom w:val="single" w:sz="4" w:space="0" w:color="auto"/>
              <w:right w:val="single" w:sz="4" w:space="0" w:color="auto"/>
            </w:tcBorders>
            <w:shd w:val="clear" w:color="auto" w:fill="auto"/>
            <w:noWrap/>
            <w:vAlign w:val="bottom"/>
            <w:hideMark/>
          </w:tcPr>
          <w:p w:rsidR="00E30634" w:rsidRDefault="00E30634">
            <w:pPr>
              <w:jc w:val="center"/>
              <w:rPr>
                <w:rFonts w:ascii="宋体" w:eastAsia="宋体" w:hAnsi="宋体" w:cs="宋体"/>
                <w:color w:val="000000"/>
                <w:sz w:val="22"/>
              </w:rPr>
            </w:pPr>
            <w:r>
              <w:rPr>
                <w:rFonts w:hint="eastAsia"/>
                <w:color w:val="000000"/>
                <w:sz w:val="22"/>
              </w:rPr>
              <w:t>27</w:t>
            </w:r>
          </w:p>
        </w:tc>
        <w:tc>
          <w:tcPr>
            <w:tcW w:w="498" w:type="pct"/>
            <w:tcBorders>
              <w:top w:val="nil"/>
              <w:left w:val="nil"/>
              <w:bottom w:val="single" w:sz="4" w:space="0" w:color="auto"/>
              <w:right w:val="single" w:sz="4" w:space="0" w:color="auto"/>
            </w:tcBorders>
            <w:shd w:val="clear" w:color="auto" w:fill="auto"/>
            <w:noWrap/>
            <w:vAlign w:val="bottom"/>
            <w:hideMark/>
          </w:tcPr>
          <w:p w:rsidR="00E30634" w:rsidRDefault="00E30634">
            <w:pPr>
              <w:jc w:val="center"/>
              <w:rPr>
                <w:rFonts w:ascii="宋体" w:eastAsia="宋体" w:hAnsi="宋体" w:cs="宋体"/>
                <w:color w:val="000000"/>
                <w:sz w:val="22"/>
              </w:rPr>
            </w:pPr>
            <w:r>
              <w:rPr>
                <w:rFonts w:hint="eastAsia"/>
                <w:color w:val="000000"/>
                <w:sz w:val="22"/>
              </w:rPr>
              <w:t>141.48</w:t>
            </w:r>
          </w:p>
        </w:tc>
        <w:tc>
          <w:tcPr>
            <w:tcW w:w="666" w:type="pct"/>
            <w:tcBorders>
              <w:top w:val="nil"/>
              <w:left w:val="nil"/>
              <w:bottom w:val="single" w:sz="4" w:space="0" w:color="auto"/>
              <w:right w:val="single" w:sz="4" w:space="0" w:color="auto"/>
            </w:tcBorders>
            <w:shd w:val="clear" w:color="auto" w:fill="auto"/>
            <w:noWrap/>
            <w:vAlign w:val="bottom"/>
            <w:hideMark/>
          </w:tcPr>
          <w:p w:rsidR="00E30634" w:rsidRDefault="00E30634">
            <w:pPr>
              <w:jc w:val="center"/>
              <w:rPr>
                <w:rFonts w:ascii="宋体" w:eastAsia="宋体" w:hAnsi="宋体" w:cs="宋体"/>
                <w:color w:val="000000"/>
                <w:sz w:val="22"/>
              </w:rPr>
            </w:pPr>
            <w:r>
              <w:rPr>
                <w:rFonts w:hint="eastAsia"/>
                <w:color w:val="000000"/>
                <w:sz w:val="22"/>
              </w:rPr>
              <w:t>1.67%</w:t>
            </w:r>
          </w:p>
        </w:tc>
        <w:tc>
          <w:tcPr>
            <w:tcW w:w="499" w:type="pct"/>
            <w:tcBorders>
              <w:top w:val="nil"/>
              <w:left w:val="nil"/>
              <w:bottom w:val="single" w:sz="4" w:space="0" w:color="auto"/>
              <w:right w:val="single" w:sz="4" w:space="0" w:color="auto"/>
            </w:tcBorders>
            <w:shd w:val="clear" w:color="auto" w:fill="auto"/>
            <w:noWrap/>
            <w:vAlign w:val="bottom"/>
            <w:hideMark/>
          </w:tcPr>
          <w:p w:rsidR="00E30634" w:rsidRDefault="00E30634">
            <w:pPr>
              <w:jc w:val="center"/>
              <w:rPr>
                <w:rFonts w:ascii="宋体" w:eastAsia="宋体" w:hAnsi="宋体" w:cs="宋体"/>
                <w:color w:val="000000"/>
                <w:sz w:val="22"/>
              </w:rPr>
            </w:pPr>
            <w:r>
              <w:rPr>
                <w:rFonts w:hint="eastAsia"/>
                <w:color w:val="000000"/>
                <w:sz w:val="22"/>
              </w:rPr>
              <w:t>271.65</w:t>
            </w:r>
          </w:p>
        </w:tc>
        <w:tc>
          <w:tcPr>
            <w:tcW w:w="666" w:type="pct"/>
            <w:tcBorders>
              <w:top w:val="nil"/>
              <w:left w:val="nil"/>
              <w:bottom w:val="single" w:sz="4" w:space="0" w:color="auto"/>
              <w:right w:val="single" w:sz="4" w:space="0" w:color="auto"/>
            </w:tcBorders>
            <w:shd w:val="clear" w:color="auto" w:fill="auto"/>
            <w:noWrap/>
            <w:vAlign w:val="center"/>
            <w:hideMark/>
          </w:tcPr>
          <w:p w:rsidR="00E30634" w:rsidRDefault="00E30634">
            <w:pPr>
              <w:jc w:val="center"/>
              <w:rPr>
                <w:rFonts w:ascii="宋体" w:eastAsia="宋体" w:hAnsi="宋体" w:cs="宋体"/>
                <w:color w:val="000000"/>
                <w:sz w:val="22"/>
              </w:rPr>
            </w:pPr>
            <w:r>
              <w:rPr>
                <w:rFonts w:hint="eastAsia"/>
                <w:color w:val="000000"/>
                <w:sz w:val="22"/>
              </w:rPr>
              <w:t>108.88%</w:t>
            </w:r>
          </w:p>
        </w:tc>
        <w:tc>
          <w:tcPr>
            <w:tcW w:w="445" w:type="pct"/>
            <w:tcBorders>
              <w:top w:val="nil"/>
              <w:left w:val="nil"/>
              <w:bottom w:val="single" w:sz="4" w:space="0" w:color="auto"/>
              <w:right w:val="single" w:sz="4" w:space="0" w:color="auto"/>
            </w:tcBorders>
            <w:shd w:val="clear" w:color="auto" w:fill="auto"/>
            <w:noWrap/>
            <w:vAlign w:val="bottom"/>
            <w:hideMark/>
          </w:tcPr>
          <w:p w:rsidR="00E30634" w:rsidRDefault="00E30634">
            <w:pPr>
              <w:jc w:val="center"/>
              <w:rPr>
                <w:rFonts w:ascii="宋体" w:eastAsia="宋体" w:hAnsi="宋体" w:cs="宋体"/>
                <w:color w:val="000000"/>
                <w:sz w:val="22"/>
              </w:rPr>
            </w:pPr>
            <w:r>
              <w:rPr>
                <w:rFonts w:hint="eastAsia"/>
                <w:color w:val="000000"/>
                <w:sz w:val="22"/>
              </w:rPr>
              <w:t>11</w:t>
            </w:r>
          </w:p>
        </w:tc>
      </w:tr>
      <w:tr w:rsidR="00E30634" w:rsidRPr="007C5492" w:rsidTr="007C5492">
        <w:trPr>
          <w:trHeight w:val="270"/>
        </w:trPr>
        <w:tc>
          <w:tcPr>
            <w:tcW w:w="458" w:type="pct"/>
            <w:vMerge/>
            <w:tcBorders>
              <w:top w:val="nil"/>
              <w:left w:val="single" w:sz="4" w:space="0" w:color="auto"/>
              <w:bottom w:val="single" w:sz="4" w:space="0" w:color="auto"/>
              <w:right w:val="single" w:sz="4" w:space="0" w:color="auto"/>
            </w:tcBorders>
            <w:vAlign w:val="center"/>
            <w:hideMark/>
          </w:tcPr>
          <w:p w:rsidR="00E30634" w:rsidRPr="007C5492" w:rsidRDefault="00E30634" w:rsidP="007C5492">
            <w:pPr>
              <w:widowControl/>
              <w:jc w:val="left"/>
              <w:rPr>
                <w:rFonts w:ascii="宋体" w:eastAsia="宋体" w:hAnsi="宋体" w:cs="宋体"/>
                <w:b/>
                <w:bCs/>
                <w:color w:val="000000"/>
                <w:kern w:val="0"/>
                <w:szCs w:val="21"/>
              </w:rPr>
            </w:pPr>
          </w:p>
        </w:tc>
        <w:tc>
          <w:tcPr>
            <w:tcW w:w="411" w:type="pct"/>
            <w:tcBorders>
              <w:top w:val="nil"/>
              <w:left w:val="nil"/>
              <w:bottom w:val="single" w:sz="4" w:space="0" w:color="auto"/>
              <w:right w:val="single" w:sz="4" w:space="0" w:color="auto"/>
            </w:tcBorders>
            <w:shd w:val="clear" w:color="auto" w:fill="auto"/>
            <w:noWrap/>
            <w:vAlign w:val="center"/>
            <w:hideMark/>
          </w:tcPr>
          <w:p w:rsidR="00E30634" w:rsidRDefault="00E30634">
            <w:pPr>
              <w:jc w:val="center"/>
              <w:rPr>
                <w:rFonts w:ascii="宋体" w:eastAsia="宋体" w:hAnsi="宋体" w:cs="宋体"/>
                <w:color w:val="000000"/>
                <w:sz w:val="22"/>
              </w:rPr>
            </w:pPr>
            <w:r>
              <w:rPr>
                <w:rFonts w:hint="eastAsia"/>
                <w:color w:val="000000"/>
                <w:sz w:val="22"/>
              </w:rPr>
              <w:t>无锡</w:t>
            </w:r>
          </w:p>
        </w:tc>
        <w:tc>
          <w:tcPr>
            <w:tcW w:w="402" w:type="pct"/>
            <w:tcBorders>
              <w:top w:val="nil"/>
              <w:left w:val="nil"/>
              <w:bottom w:val="single" w:sz="4" w:space="0" w:color="auto"/>
              <w:right w:val="single" w:sz="4" w:space="0" w:color="auto"/>
            </w:tcBorders>
            <w:shd w:val="clear" w:color="auto" w:fill="auto"/>
            <w:noWrap/>
            <w:vAlign w:val="bottom"/>
            <w:hideMark/>
          </w:tcPr>
          <w:p w:rsidR="00E30634" w:rsidRDefault="00E30634">
            <w:pPr>
              <w:jc w:val="center"/>
              <w:rPr>
                <w:rFonts w:ascii="宋体" w:eastAsia="宋体" w:hAnsi="宋体" w:cs="宋体"/>
                <w:color w:val="000000"/>
                <w:sz w:val="22"/>
              </w:rPr>
            </w:pPr>
            <w:r>
              <w:rPr>
                <w:rFonts w:hint="eastAsia"/>
                <w:color w:val="000000"/>
                <w:sz w:val="22"/>
              </w:rPr>
              <w:t>4</w:t>
            </w:r>
          </w:p>
        </w:tc>
        <w:tc>
          <w:tcPr>
            <w:tcW w:w="539" w:type="pct"/>
            <w:tcBorders>
              <w:top w:val="nil"/>
              <w:left w:val="nil"/>
              <w:bottom w:val="single" w:sz="4" w:space="0" w:color="auto"/>
              <w:right w:val="single" w:sz="4" w:space="0" w:color="auto"/>
            </w:tcBorders>
            <w:shd w:val="clear" w:color="auto" w:fill="auto"/>
            <w:noWrap/>
            <w:vAlign w:val="bottom"/>
            <w:hideMark/>
          </w:tcPr>
          <w:p w:rsidR="00E30634" w:rsidRDefault="00E30634">
            <w:pPr>
              <w:jc w:val="center"/>
              <w:rPr>
                <w:rFonts w:ascii="宋体" w:eastAsia="宋体" w:hAnsi="宋体" w:cs="宋体"/>
                <w:color w:val="000000"/>
                <w:sz w:val="22"/>
              </w:rPr>
            </w:pPr>
            <w:r>
              <w:rPr>
                <w:rFonts w:hint="eastAsia"/>
                <w:color w:val="000000"/>
                <w:sz w:val="22"/>
              </w:rPr>
              <w:t>11.27</w:t>
            </w:r>
          </w:p>
        </w:tc>
        <w:tc>
          <w:tcPr>
            <w:tcW w:w="416" w:type="pct"/>
            <w:tcBorders>
              <w:top w:val="nil"/>
              <w:left w:val="nil"/>
              <w:bottom w:val="single" w:sz="4" w:space="0" w:color="auto"/>
              <w:right w:val="single" w:sz="4" w:space="0" w:color="auto"/>
            </w:tcBorders>
            <w:shd w:val="clear" w:color="auto" w:fill="auto"/>
            <w:noWrap/>
            <w:vAlign w:val="bottom"/>
            <w:hideMark/>
          </w:tcPr>
          <w:p w:rsidR="00E30634" w:rsidRDefault="00E30634">
            <w:pPr>
              <w:jc w:val="center"/>
              <w:rPr>
                <w:rFonts w:ascii="宋体" w:eastAsia="宋体" w:hAnsi="宋体" w:cs="宋体"/>
                <w:color w:val="000000"/>
                <w:sz w:val="22"/>
              </w:rPr>
            </w:pPr>
            <w:r>
              <w:rPr>
                <w:rFonts w:hint="eastAsia"/>
                <w:color w:val="000000"/>
                <w:sz w:val="22"/>
              </w:rPr>
              <w:t>4</w:t>
            </w:r>
          </w:p>
        </w:tc>
        <w:tc>
          <w:tcPr>
            <w:tcW w:w="498" w:type="pct"/>
            <w:tcBorders>
              <w:top w:val="nil"/>
              <w:left w:val="nil"/>
              <w:bottom w:val="single" w:sz="4" w:space="0" w:color="auto"/>
              <w:right w:val="single" w:sz="4" w:space="0" w:color="auto"/>
            </w:tcBorders>
            <w:shd w:val="clear" w:color="auto" w:fill="auto"/>
            <w:noWrap/>
            <w:vAlign w:val="bottom"/>
            <w:hideMark/>
          </w:tcPr>
          <w:p w:rsidR="00E30634" w:rsidRDefault="00E30634">
            <w:pPr>
              <w:jc w:val="center"/>
              <w:rPr>
                <w:rFonts w:ascii="宋体" w:eastAsia="宋体" w:hAnsi="宋体" w:cs="宋体"/>
                <w:color w:val="000000"/>
                <w:sz w:val="22"/>
              </w:rPr>
            </w:pPr>
            <w:r>
              <w:rPr>
                <w:rFonts w:hint="eastAsia"/>
                <w:color w:val="000000"/>
                <w:sz w:val="22"/>
              </w:rPr>
              <w:t>11.27</w:t>
            </w:r>
          </w:p>
        </w:tc>
        <w:tc>
          <w:tcPr>
            <w:tcW w:w="666" w:type="pct"/>
            <w:tcBorders>
              <w:top w:val="nil"/>
              <w:left w:val="nil"/>
              <w:bottom w:val="single" w:sz="4" w:space="0" w:color="auto"/>
              <w:right w:val="single" w:sz="4" w:space="0" w:color="auto"/>
            </w:tcBorders>
            <w:shd w:val="clear" w:color="auto" w:fill="auto"/>
            <w:noWrap/>
            <w:vAlign w:val="bottom"/>
            <w:hideMark/>
          </w:tcPr>
          <w:p w:rsidR="00E30634" w:rsidRDefault="00E30634">
            <w:pPr>
              <w:jc w:val="center"/>
              <w:rPr>
                <w:rFonts w:ascii="宋体" w:eastAsia="宋体" w:hAnsi="宋体" w:cs="宋体"/>
                <w:color w:val="000000"/>
                <w:sz w:val="22"/>
              </w:rPr>
            </w:pPr>
            <w:r>
              <w:rPr>
                <w:rFonts w:hint="eastAsia"/>
                <w:color w:val="000000"/>
                <w:sz w:val="22"/>
              </w:rPr>
              <w:t>222.00%</w:t>
            </w:r>
          </w:p>
        </w:tc>
        <w:tc>
          <w:tcPr>
            <w:tcW w:w="499" w:type="pct"/>
            <w:tcBorders>
              <w:top w:val="nil"/>
              <w:left w:val="nil"/>
              <w:bottom w:val="single" w:sz="4" w:space="0" w:color="auto"/>
              <w:right w:val="single" w:sz="4" w:space="0" w:color="auto"/>
            </w:tcBorders>
            <w:shd w:val="clear" w:color="auto" w:fill="auto"/>
            <w:noWrap/>
            <w:vAlign w:val="center"/>
            <w:hideMark/>
          </w:tcPr>
          <w:p w:rsidR="00E30634" w:rsidRDefault="00E30634">
            <w:pPr>
              <w:jc w:val="center"/>
              <w:rPr>
                <w:rFonts w:ascii="宋体" w:eastAsia="宋体" w:hAnsi="宋体" w:cs="宋体"/>
                <w:color w:val="000000"/>
                <w:sz w:val="22"/>
              </w:rPr>
            </w:pPr>
            <w:r>
              <w:rPr>
                <w:rFonts w:hint="eastAsia"/>
                <w:color w:val="000000"/>
                <w:sz w:val="22"/>
              </w:rPr>
              <w:t xml:space="preserve">7.58 </w:t>
            </w:r>
          </w:p>
        </w:tc>
        <w:tc>
          <w:tcPr>
            <w:tcW w:w="666" w:type="pct"/>
            <w:tcBorders>
              <w:top w:val="nil"/>
              <w:left w:val="nil"/>
              <w:bottom w:val="single" w:sz="4" w:space="0" w:color="auto"/>
              <w:right w:val="single" w:sz="4" w:space="0" w:color="auto"/>
            </w:tcBorders>
            <w:shd w:val="clear" w:color="auto" w:fill="auto"/>
            <w:noWrap/>
            <w:vAlign w:val="center"/>
            <w:hideMark/>
          </w:tcPr>
          <w:p w:rsidR="00E30634" w:rsidRDefault="00E30634">
            <w:pPr>
              <w:jc w:val="center"/>
              <w:rPr>
                <w:rFonts w:ascii="宋体" w:eastAsia="宋体" w:hAnsi="宋体" w:cs="宋体"/>
                <w:color w:val="000000"/>
                <w:sz w:val="22"/>
              </w:rPr>
            </w:pPr>
            <w:r>
              <w:rPr>
                <w:rFonts w:hint="eastAsia"/>
                <w:color w:val="000000"/>
                <w:sz w:val="22"/>
              </w:rPr>
              <w:t>190.42%</w:t>
            </w:r>
          </w:p>
        </w:tc>
        <w:tc>
          <w:tcPr>
            <w:tcW w:w="445" w:type="pct"/>
            <w:tcBorders>
              <w:top w:val="nil"/>
              <w:left w:val="nil"/>
              <w:bottom w:val="single" w:sz="4" w:space="0" w:color="auto"/>
              <w:right w:val="single" w:sz="4" w:space="0" w:color="auto"/>
            </w:tcBorders>
            <w:shd w:val="clear" w:color="auto" w:fill="auto"/>
            <w:noWrap/>
            <w:vAlign w:val="bottom"/>
            <w:hideMark/>
          </w:tcPr>
          <w:p w:rsidR="00E30634" w:rsidRDefault="00E30634">
            <w:pPr>
              <w:jc w:val="center"/>
              <w:rPr>
                <w:rFonts w:ascii="宋体" w:eastAsia="宋体" w:hAnsi="宋体" w:cs="宋体"/>
                <w:color w:val="000000"/>
                <w:sz w:val="22"/>
              </w:rPr>
            </w:pPr>
            <w:r>
              <w:rPr>
                <w:rFonts w:hint="eastAsia"/>
                <w:color w:val="000000"/>
                <w:sz w:val="22"/>
              </w:rPr>
              <w:t>0</w:t>
            </w:r>
          </w:p>
        </w:tc>
      </w:tr>
      <w:tr w:rsidR="00E30634" w:rsidRPr="007C5492" w:rsidTr="007C5492">
        <w:trPr>
          <w:trHeight w:val="270"/>
        </w:trPr>
        <w:tc>
          <w:tcPr>
            <w:tcW w:w="458" w:type="pct"/>
            <w:vMerge/>
            <w:tcBorders>
              <w:top w:val="nil"/>
              <w:left w:val="single" w:sz="4" w:space="0" w:color="auto"/>
              <w:bottom w:val="single" w:sz="4" w:space="0" w:color="auto"/>
              <w:right w:val="single" w:sz="4" w:space="0" w:color="auto"/>
            </w:tcBorders>
            <w:vAlign w:val="center"/>
            <w:hideMark/>
          </w:tcPr>
          <w:p w:rsidR="00E30634" w:rsidRPr="007C5492" w:rsidRDefault="00E30634" w:rsidP="007C5492">
            <w:pPr>
              <w:widowControl/>
              <w:jc w:val="left"/>
              <w:rPr>
                <w:rFonts w:ascii="宋体" w:eastAsia="宋体" w:hAnsi="宋体" w:cs="宋体"/>
                <w:b/>
                <w:bCs/>
                <w:color w:val="000000"/>
                <w:kern w:val="0"/>
                <w:szCs w:val="21"/>
              </w:rPr>
            </w:pPr>
          </w:p>
        </w:tc>
        <w:tc>
          <w:tcPr>
            <w:tcW w:w="411" w:type="pct"/>
            <w:tcBorders>
              <w:top w:val="nil"/>
              <w:left w:val="nil"/>
              <w:bottom w:val="single" w:sz="4" w:space="0" w:color="auto"/>
              <w:right w:val="single" w:sz="4" w:space="0" w:color="auto"/>
            </w:tcBorders>
            <w:shd w:val="clear" w:color="000000" w:fill="DDD9C4"/>
            <w:noWrap/>
            <w:vAlign w:val="center"/>
            <w:hideMark/>
          </w:tcPr>
          <w:p w:rsidR="00E30634" w:rsidRDefault="00E30634">
            <w:pPr>
              <w:jc w:val="center"/>
              <w:rPr>
                <w:rFonts w:ascii="宋体" w:eastAsia="宋体" w:hAnsi="宋体" w:cs="宋体"/>
                <w:b/>
                <w:bCs/>
                <w:color w:val="000000"/>
                <w:sz w:val="22"/>
              </w:rPr>
            </w:pPr>
            <w:r>
              <w:rPr>
                <w:rFonts w:hint="eastAsia"/>
                <w:b/>
                <w:bCs/>
                <w:color w:val="000000"/>
                <w:sz w:val="22"/>
              </w:rPr>
              <w:t>合计</w:t>
            </w:r>
          </w:p>
        </w:tc>
        <w:tc>
          <w:tcPr>
            <w:tcW w:w="402" w:type="pct"/>
            <w:tcBorders>
              <w:top w:val="nil"/>
              <w:left w:val="nil"/>
              <w:bottom w:val="single" w:sz="4" w:space="0" w:color="auto"/>
              <w:right w:val="single" w:sz="4" w:space="0" w:color="auto"/>
            </w:tcBorders>
            <w:shd w:val="clear" w:color="000000" w:fill="DDD9C4"/>
            <w:noWrap/>
            <w:vAlign w:val="center"/>
            <w:hideMark/>
          </w:tcPr>
          <w:p w:rsidR="00E30634" w:rsidRDefault="00E30634">
            <w:pPr>
              <w:jc w:val="center"/>
              <w:rPr>
                <w:rFonts w:ascii="宋体" w:eastAsia="宋体" w:hAnsi="宋体" w:cs="宋体"/>
                <w:color w:val="000000"/>
                <w:sz w:val="22"/>
              </w:rPr>
            </w:pPr>
            <w:r>
              <w:rPr>
                <w:rFonts w:hint="eastAsia"/>
                <w:color w:val="000000"/>
                <w:sz w:val="22"/>
              </w:rPr>
              <w:t>55</w:t>
            </w:r>
          </w:p>
        </w:tc>
        <w:tc>
          <w:tcPr>
            <w:tcW w:w="539" w:type="pct"/>
            <w:tcBorders>
              <w:top w:val="nil"/>
              <w:left w:val="nil"/>
              <w:bottom w:val="single" w:sz="4" w:space="0" w:color="auto"/>
              <w:right w:val="single" w:sz="4" w:space="0" w:color="auto"/>
            </w:tcBorders>
            <w:shd w:val="clear" w:color="000000" w:fill="DDD9C4"/>
            <w:noWrap/>
            <w:vAlign w:val="center"/>
            <w:hideMark/>
          </w:tcPr>
          <w:p w:rsidR="00E30634" w:rsidRDefault="00E30634">
            <w:pPr>
              <w:jc w:val="center"/>
              <w:rPr>
                <w:rFonts w:ascii="宋体" w:eastAsia="宋体" w:hAnsi="宋体" w:cs="宋体"/>
                <w:color w:val="000000"/>
                <w:sz w:val="22"/>
              </w:rPr>
            </w:pPr>
            <w:r>
              <w:rPr>
                <w:rFonts w:hint="eastAsia"/>
                <w:color w:val="000000"/>
                <w:sz w:val="22"/>
              </w:rPr>
              <w:t xml:space="preserve">269.75 </w:t>
            </w:r>
          </w:p>
        </w:tc>
        <w:tc>
          <w:tcPr>
            <w:tcW w:w="416" w:type="pct"/>
            <w:tcBorders>
              <w:top w:val="nil"/>
              <w:left w:val="nil"/>
              <w:bottom w:val="single" w:sz="4" w:space="0" w:color="auto"/>
              <w:right w:val="single" w:sz="4" w:space="0" w:color="auto"/>
            </w:tcBorders>
            <w:shd w:val="clear" w:color="000000" w:fill="DDD9C4"/>
            <w:noWrap/>
            <w:vAlign w:val="center"/>
            <w:hideMark/>
          </w:tcPr>
          <w:p w:rsidR="00E30634" w:rsidRDefault="00E30634">
            <w:pPr>
              <w:jc w:val="center"/>
              <w:rPr>
                <w:rFonts w:ascii="宋体" w:eastAsia="宋体" w:hAnsi="宋体" w:cs="宋体"/>
                <w:color w:val="000000"/>
                <w:sz w:val="22"/>
              </w:rPr>
            </w:pPr>
            <w:r>
              <w:rPr>
                <w:rFonts w:hint="eastAsia"/>
                <w:color w:val="000000"/>
                <w:sz w:val="22"/>
              </w:rPr>
              <w:t>48</w:t>
            </w:r>
          </w:p>
        </w:tc>
        <w:tc>
          <w:tcPr>
            <w:tcW w:w="498" w:type="pct"/>
            <w:tcBorders>
              <w:top w:val="nil"/>
              <w:left w:val="nil"/>
              <w:bottom w:val="single" w:sz="4" w:space="0" w:color="auto"/>
              <w:right w:val="single" w:sz="4" w:space="0" w:color="auto"/>
            </w:tcBorders>
            <w:shd w:val="clear" w:color="000000" w:fill="DDD9C4"/>
            <w:noWrap/>
            <w:vAlign w:val="center"/>
            <w:hideMark/>
          </w:tcPr>
          <w:p w:rsidR="00E30634" w:rsidRDefault="00E30634">
            <w:pPr>
              <w:jc w:val="center"/>
              <w:rPr>
                <w:rFonts w:ascii="宋体" w:eastAsia="宋体" w:hAnsi="宋体" w:cs="宋体"/>
                <w:color w:val="000000"/>
                <w:sz w:val="22"/>
              </w:rPr>
            </w:pPr>
            <w:r>
              <w:rPr>
                <w:rFonts w:hint="eastAsia"/>
                <w:color w:val="000000"/>
                <w:sz w:val="22"/>
              </w:rPr>
              <w:t xml:space="preserve">238.72 </w:t>
            </w:r>
          </w:p>
        </w:tc>
        <w:tc>
          <w:tcPr>
            <w:tcW w:w="666" w:type="pct"/>
            <w:tcBorders>
              <w:top w:val="nil"/>
              <w:left w:val="nil"/>
              <w:bottom w:val="single" w:sz="4" w:space="0" w:color="auto"/>
              <w:right w:val="single" w:sz="4" w:space="0" w:color="auto"/>
            </w:tcBorders>
            <w:shd w:val="clear" w:color="000000" w:fill="DDD9C4"/>
            <w:noWrap/>
            <w:vAlign w:val="center"/>
            <w:hideMark/>
          </w:tcPr>
          <w:p w:rsidR="00E30634" w:rsidRDefault="00E30634">
            <w:pPr>
              <w:jc w:val="center"/>
              <w:rPr>
                <w:rFonts w:ascii="宋体" w:eastAsia="宋体" w:hAnsi="宋体" w:cs="宋体"/>
                <w:color w:val="000000"/>
                <w:sz w:val="22"/>
              </w:rPr>
            </w:pPr>
            <w:r>
              <w:rPr>
                <w:rFonts w:hint="eastAsia"/>
                <w:color w:val="000000"/>
                <w:sz w:val="22"/>
              </w:rPr>
              <w:t>13.64%</w:t>
            </w:r>
          </w:p>
        </w:tc>
        <w:tc>
          <w:tcPr>
            <w:tcW w:w="499" w:type="pct"/>
            <w:tcBorders>
              <w:top w:val="nil"/>
              <w:left w:val="nil"/>
              <w:bottom w:val="single" w:sz="4" w:space="0" w:color="auto"/>
              <w:right w:val="single" w:sz="4" w:space="0" w:color="auto"/>
            </w:tcBorders>
            <w:shd w:val="clear" w:color="000000" w:fill="DDD9C4"/>
            <w:noWrap/>
            <w:vAlign w:val="center"/>
            <w:hideMark/>
          </w:tcPr>
          <w:p w:rsidR="00E30634" w:rsidRDefault="00E30634">
            <w:pPr>
              <w:jc w:val="center"/>
              <w:rPr>
                <w:rFonts w:ascii="宋体" w:eastAsia="宋体" w:hAnsi="宋体" w:cs="宋体"/>
                <w:color w:val="000000"/>
                <w:sz w:val="22"/>
              </w:rPr>
            </w:pPr>
            <w:r>
              <w:rPr>
                <w:rFonts w:hint="eastAsia"/>
                <w:color w:val="000000"/>
                <w:sz w:val="22"/>
              </w:rPr>
              <w:t xml:space="preserve">470.47 </w:t>
            </w:r>
          </w:p>
        </w:tc>
        <w:tc>
          <w:tcPr>
            <w:tcW w:w="666" w:type="pct"/>
            <w:tcBorders>
              <w:top w:val="nil"/>
              <w:left w:val="nil"/>
              <w:bottom w:val="single" w:sz="4" w:space="0" w:color="auto"/>
              <w:right w:val="single" w:sz="4" w:space="0" w:color="auto"/>
            </w:tcBorders>
            <w:shd w:val="clear" w:color="000000" w:fill="DDD9C4"/>
            <w:noWrap/>
            <w:vAlign w:val="center"/>
            <w:hideMark/>
          </w:tcPr>
          <w:p w:rsidR="00E30634" w:rsidRDefault="00E30634">
            <w:pPr>
              <w:jc w:val="center"/>
              <w:rPr>
                <w:rFonts w:ascii="宋体" w:eastAsia="宋体" w:hAnsi="宋体" w:cs="宋体"/>
                <w:color w:val="000000"/>
                <w:sz w:val="22"/>
              </w:rPr>
            </w:pPr>
            <w:r>
              <w:rPr>
                <w:rFonts w:hint="eastAsia"/>
                <w:color w:val="000000"/>
                <w:sz w:val="22"/>
              </w:rPr>
              <w:t>88.73%</w:t>
            </w:r>
          </w:p>
        </w:tc>
        <w:tc>
          <w:tcPr>
            <w:tcW w:w="445" w:type="pct"/>
            <w:tcBorders>
              <w:top w:val="nil"/>
              <w:left w:val="nil"/>
              <w:bottom w:val="single" w:sz="4" w:space="0" w:color="auto"/>
              <w:right w:val="single" w:sz="4" w:space="0" w:color="auto"/>
            </w:tcBorders>
            <w:shd w:val="clear" w:color="000000" w:fill="DDD9C4"/>
            <w:noWrap/>
            <w:vAlign w:val="bottom"/>
            <w:hideMark/>
          </w:tcPr>
          <w:p w:rsidR="00E30634" w:rsidRDefault="00E30634">
            <w:pPr>
              <w:jc w:val="center"/>
              <w:rPr>
                <w:rFonts w:ascii="宋体" w:eastAsia="宋体" w:hAnsi="宋体" w:cs="宋体"/>
                <w:color w:val="000000"/>
                <w:sz w:val="22"/>
              </w:rPr>
            </w:pPr>
            <w:r>
              <w:rPr>
                <w:rFonts w:hint="eastAsia"/>
                <w:color w:val="000000"/>
                <w:sz w:val="22"/>
              </w:rPr>
              <w:t>24</w:t>
            </w:r>
          </w:p>
        </w:tc>
      </w:tr>
      <w:tr w:rsidR="00E30634" w:rsidRPr="007C5492" w:rsidTr="007C5492">
        <w:trPr>
          <w:trHeight w:val="270"/>
        </w:trPr>
        <w:tc>
          <w:tcPr>
            <w:tcW w:w="458" w:type="pct"/>
            <w:vMerge w:val="restart"/>
            <w:tcBorders>
              <w:top w:val="nil"/>
              <w:left w:val="single" w:sz="4" w:space="0" w:color="auto"/>
              <w:bottom w:val="single" w:sz="4" w:space="0" w:color="auto"/>
              <w:right w:val="single" w:sz="4" w:space="0" w:color="auto"/>
            </w:tcBorders>
            <w:shd w:val="clear" w:color="000000" w:fill="C4BD97"/>
            <w:vAlign w:val="center"/>
            <w:hideMark/>
          </w:tcPr>
          <w:p w:rsidR="00E30634" w:rsidRPr="007C5492" w:rsidRDefault="00E30634" w:rsidP="007C5492">
            <w:pPr>
              <w:widowControl/>
              <w:jc w:val="center"/>
              <w:rPr>
                <w:rFonts w:ascii="宋体" w:eastAsia="宋体" w:hAnsi="宋体" w:cs="宋体"/>
                <w:b/>
                <w:bCs/>
                <w:color w:val="000000"/>
                <w:kern w:val="0"/>
                <w:szCs w:val="21"/>
              </w:rPr>
            </w:pPr>
            <w:r w:rsidRPr="007C5492">
              <w:rPr>
                <w:rFonts w:ascii="宋体" w:eastAsia="宋体" w:hAnsi="宋体" w:cs="宋体" w:hint="eastAsia"/>
                <w:b/>
                <w:bCs/>
                <w:color w:val="000000"/>
                <w:kern w:val="0"/>
                <w:szCs w:val="21"/>
              </w:rPr>
              <w:t>第二方阵</w:t>
            </w:r>
          </w:p>
        </w:tc>
        <w:tc>
          <w:tcPr>
            <w:tcW w:w="411" w:type="pct"/>
            <w:tcBorders>
              <w:top w:val="nil"/>
              <w:left w:val="nil"/>
              <w:bottom w:val="single" w:sz="4" w:space="0" w:color="auto"/>
              <w:right w:val="single" w:sz="4" w:space="0" w:color="auto"/>
            </w:tcBorders>
            <w:shd w:val="clear" w:color="auto" w:fill="auto"/>
            <w:noWrap/>
            <w:vAlign w:val="center"/>
            <w:hideMark/>
          </w:tcPr>
          <w:p w:rsidR="00E30634" w:rsidRDefault="00E30634">
            <w:pPr>
              <w:jc w:val="center"/>
              <w:rPr>
                <w:rFonts w:ascii="宋体" w:eastAsia="宋体" w:hAnsi="宋体" w:cs="宋体"/>
                <w:color w:val="000000"/>
                <w:sz w:val="22"/>
              </w:rPr>
            </w:pPr>
            <w:r>
              <w:rPr>
                <w:rFonts w:hint="eastAsia"/>
                <w:color w:val="000000"/>
                <w:sz w:val="22"/>
              </w:rPr>
              <w:t>常州</w:t>
            </w:r>
          </w:p>
        </w:tc>
        <w:tc>
          <w:tcPr>
            <w:tcW w:w="402" w:type="pct"/>
            <w:tcBorders>
              <w:top w:val="nil"/>
              <w:left w:val="nil"/>
              <w:bottom w:val="single" w:sz="4" w:space="0" w:color="auto"/>
              <w:right w:val="single" w:sz="4" w:space="0" w:color="auto"/>
            </w:tcBorders>
            <w:shd w:val="clear" w:color="auto" w:fill="auto"/>
            <w:noWrap/>
            <w:vAlign w:val="bottom"/>
            <w:hideMark/>
          </w:tcPr>
          <w:p w:rsidR="00E30634" w:rsidRDefault="00E30634">
            <w:pPr>
              <w:jc w:val="center"/>
              <w:rPr>
                <w:rFonts w:ascii="宋体" w:eastAsia="宋体" w:hAnsi="宋体" w:cs="宋体"/>
                <w:color w:val="000000"/>
                <w:sz w:val="22"/>
              </w:rPr>
            </w:pPr>
            <w:r>
              <w:rPr>
                <w:rFonts w:hint="eastAsia"/>
                <w:color w:val="000000"/>
                <w:sz w:val="22"/>
              </w:rPr>
              <w:t>24</w:t>
            </w:r>
          </w:p>
        </w:tc>
        <w:tc>
          <w:tcPr>
            <w:tcW w:w="539" w:type="pct"/>
            <w:tcBorders>
              <w:top w:val="nil"/>
              <w:left w:val="nil"/>
              <w:bottom w:val="single" w:sz="4" w:space="0" w:color="auto"/>
              <w:right w:val="single" w:sz="4" w:space="0" w:color="auto"/>
            </w:tcBorders>
            <w:shd w:val="clear" w:color="auto" w:fill="auto"/>
            <w:noWrap/>
            <w:vAlign w:val="bottom"/>
            <w:hideMark/>
          </w:tcPr>
          <w:p w:rsidR="00E30634" w:rsidRDefault="00E30634">
            <w:pPr>
              <w:jc w:val="center"/>
              <w:rPr>
                <w:rFonts w:ascii="宋体" w:eastAsia="宋体" w:hAnsi="宋体" w:cs="宋体"/>
                <w:color w:val="000000"/>
                <w:sz w:val="22"/>
              </w:rPr>
            </w:pPr>
            <w:r>
              <w:rPr>
                <w:rFonts w:hint="eastAsia"/>
                <w:color w:val="000000"/>
                <w:sz w:val="22"/>
              </w:rPr>
              <w:t>70.22</w:t>
            </w:r>
          </w:p>
        </w:tc>
        <w:tc>
          <w:tcPr>
            <w:tcW w:w="416" w:type="pct"/>
            <w:tcBorders>
              <w:top w:val="nil"/>
              <w:left w:val="nil"/>
              <w:bottom w:val="single" w:sz="4" w:space="0" w:color="auto"/>
              <w:right w:val="single" w:sz="4" w:space="0" w:color="auto"/>
            </w:tcBorders>
            <w:shd w:val="clear" w:color="auto" w:fill="auto"/>
            <w:noWrap/>
            <w:vAlign w:val="bottom"/>
            <w:hideMark/>
          </w:tcPr>
          <w:p w:rsidR="00E30634" w:rsidRDefault="00E30634">
            <w:pPr>
              <w:jc w:val="center"/>
              <w:rPr>
                <w:rFonts w:ascii="宋体" w:eastAsia="宋体" w:hAnsi="宋体" w:cs="宋体"/>
                <w:color w:val="000000"/>
                <w:sz w:val="22"/>
              </w:rPr>
            </w:pPr>
            <w:r>
              <w:rPr>
                <w:rFonts w:hint="eastAsia"/>
                <w:color w:val="000000"/>
                <w:sz w:val="22"/>
              </w:rPr>
              <w:t>22</w:t>
            </w:r>
          </w:p>
        </w:tc>
        <w:tc>
          <w:tcPr>
            <w:tcW w:w="498" w:type="pct"/>
            <w:tcBorders>
              <w:top w:val="nil"/>
              <w:left w:val="nil"/>
              <w:bottom w:val="single" w:sz="4" w:space="0" w:color="auto"/>
              <w:right w:val="single" w:sz="4" w:space="0" w:color="auto"/>
            </w:tcBorders>
            <w:shd w:val="clear" w:color="auto" w:fill="auto"/>
            <w:noWrap/>
            <w:vAlign w:val="bottom"/>
            <w:hideMark/>
          </w:tcPr>
          <w:p w:rsidR="00E30634" w:rsidRDefault="00E30634">
            <w:pPr>
              <w:jc w:val="center"/>
              <w:rPr>
                <w:rFonts w:ascii="宋体" w:eastAsia="宋体" w:hAnsi="宋体" w:cs="宋体"/>
                <w:color w:val="000000"/>
                <w:sz w:val="22"/>
              </w:rPr>
            </w:pPr>
            <w:r>
              <w:rPr>
                <w:rFonts w:hint="eastAsia"/>
                <w:color w:val="000000"/>
                <w:sz w:val="22"/>
              </w:rPr>
              <w:t>66.56</w:t>
            </w:r>
          </w:p>
        </w:tc>
        <w:tc>
          <w:tcPr>
            <w:tcW w:w="666" w:type="pct"/>
            <w:tcBorders>
              <w:top w:val="nil"/>
              <w:left w:val="nil"/>
              <w:bottom w:val="single" w:sz="4" w:space="0" w:color="auto"/>
              <w:right w:val="single" w:sz="4" w:space="0" w:color="auto"/>
            </w:tcBorders>
            <w:shd w:val="clear" w:color="auto" w:fill="auto"/>
            <w:noWrap/>
            <w:vAlign w:val="bottom"/>
            <w:hideMark/>
          </w:tcPr>
          <w:p w:rsidR="00E30634" w:rsidRDefault="00E30634">
            <w:pPr>
              <w:jc w:val="center"/>
              <w:rPr>
                <w:rFonts w:ascii="宋体" w:eastAsia="宋体" w:hAnsi="宋体" w:cs="宋体"/>
                <w:color w:val="000000"/>
                <w:sz w:val="22"/>
              </w:rPr>
            </w:pPr>
            <w:r>
              <w:rPr>
                <w:rFonts w:hint="eastAsia"/>
                <w:color w:val="000000"/>
                <w:sz w:val="22"/>
              </w:rPr>
              <w:t>112.04%</w:t>
            </w:r>
          </w:p>
        </w:tc>
        <w:tc>
          <w:tcPr>
            <w:tcW w:w="499" w:type="pct"/>
            <w:tcBorders>
              <w:top w:val="nil"/>
              <w:left w:val="nil"/>
              <w:bottom w:val="single" w:sz="4" w:space="0" w:color="auto"/>
              <w:right w:val="single" w:sz="4" w:space="0" w:color="auto"/>
            </w:tcBorders>
            <w:shd w:val="clear" w:color="auto" w:fill="auto"/>
            <w:noWrap/>
            <w:vAlign w:val="bottom"/>
            <w:hideMark/>
          </w:tcPr>
          <w:p w:rsidR="00E30634" w:rsidRDefault="00E30634">
            <w:pPr>
              <w:jc w:val="center"/>
              <w:rPr>
                <w:rFonts w:ascii="宋体" w:eastAsia="宋体" w:hAnsi="宋体" w:cs="宋体"/>
                <w:color w:val="000000"/>
                <w:sz w:val="22"/>
              </w:rPr>
            </w:pPr>
            <w:r>
              <w:rPr>
                <w:rFonts w:hint="eastAsia"/>
                <w:color w:val="000000"/>
                <w:sz w:val="22"/>
              </w:rPr>
              <w:t>42.79</w:t>
            </w:r>
          </w:p>
        </w:tc>
        <w:tc>
          <w:tcPr>
            <w:tcW w:w="666" w:type="pct"/>
            <w:tcBorders>
              <w:top w:val="nil"/>
              <w:left w:val="nil"/>
              <w:bottom w:val="single" w:sz="4" w:space="0" w:color="auto"/>
              <w:right w:val="single" w:sz="4" w:space="0" w:color="auto"/>
            </w:tcBorders>
            <w:shd w:val="clear" w:color="auto" w:fill="auto"/>
            <w:noWrap/>
            <w:vAlign w:val="center"/>
            <w:hideMark/>
          </w:tcPr>
          <w:p w:rsidR="00E30634" w:rsidRDefault="00E30634">
            <w:pPr>
              <w:jc w:val="center"/>
              <w:rPr>
                <w:rFonts w:ascii="宋体" w:eastAsia="宋体" w:hAnsi="宋体" w:cs="宋体"/>
                <w:color w:val="000000"/>
                <w:sz w:val="22"/>
              </w:rPr>
            </w:pPr>
            <w:r>
              <w:rPr>
                <w:rFonts w:hint="eastAsia"/>
                <w:color w:val="000000"/>
                <w:sz w:val="22"/>
              </w:rPr>
              <w:t>276.34%</w:t>
            </w:r>
          </w:p>
        </w:tc>
        <w:tc>
          <w:tcPr>
            <w:tcW w:w="445" w:type="pct"/>
            <w:tcBorders>
              <w:top w:val="nil"/>
              <w:left w:val="nil"/>
              <w:bottom w:val="single" w:sz="4" w:space="0" w:color="auto"/>
              <w:right w:val="single" w:sz="4" w:space="0" w:color="auto"/>
            </w:tcBorders>
            <w:shd w:val="clear" w:color="auto" w:fill="auto"/>
            <w:noWrap/>
            <w:vAlign w:val="bottom"/>
            <w:hideMark/>
          </w:tcPr>
          <w:p w:rsidR="00E30634" w:rsidRDefault="00E30634">
            <w:pPr>
              <w:jc w:val="center"/>
              <w:rPr>
                <w:rFonts w:ascii="宋体" w:eastAsia="宋体" w:hAnsi="宋体" w:cs="宋体"/>
                <w:color w:val="000000"/>
                <w:sz w:val="22"/>
              </w:rPr>
            </w:pPr>
            <w:r>
              <w:rPr>
                <w:rFonts w:hint="eastAsia"/>
                <w:color w:val="000000"/>
                <w:sz w:val="22"/>
              </w:rPr>
              <w:t>10</w:t>
            </w:r>
          </w:p>
        </w:tc>
      </w:tr>
      <w:tr w:rsidR="00E30634" w:rsidRPr="007C5492" w:rsidTr="007C5492">
        <w:trPr>
          <w:trHeight w:val="270"/>
        </w:trPr>
        <w:tc>
          <w:tcPr>
            <w:tcW w:w="458" w:type="pct"/>
            <w:vMerge/>
            <w:tcBorders>
              <w:top w:val="nil"/>
              <w:left w:val="single" w:sz="4" w:space="0" w:color="auto"/>
              <w:bottom w:val="single" w:sz="4" w:space="0" w:color="auto"/>
              <w:right w:val="single" w:sz="4" w:space="0" w:color="auto"/>
            </w:tcBorders>
            <w:vAlign w:val="center"/>
            <w:hideMark/>
          </w:tcPr>
          <w:p w:rsidR="00E30634" w:rsidRPr="007C5492" w:rsidRDefault="00E30634" w:rsidP="007C5492">
            <w:pPr>
              <w:widowControl/>
              <w:jc w:val="left"/>
              <w:rPr>
                <w:rFonts w:ascii="宋体" w:eastAsia="宋体" w:hAnsi="宋体" w:cs="宋体"/>
                <w:b/>
                <w:bCs/>
                <w:color w:val="000000"/>
                <w:kern w:val="0"/>
                <w:szCs w:val="21"/>
              </w:rPr>
            </w:pPr>
          </w:p>
        </w:tc>
        <w:tc>
          <w:tcPr>
            <w:tcW w:w="411" w:type="pct"/>
            <w:tcBorders>
              <w:top w:val="nil"/>
              <w:left w:val="nil"/>
              <w:bottom w:val="single" w:sz="4" w:space="0" w:color="auto"/>
              <w:right w:val="single" w:sz="4" w:space="0" w:color="auto"/>
            </w:tcBorders>
            <w:shd w:val="clear" w:color="auto" w:fill="auto"/>
            <w:noWrap/>
            <w:vAlign w:val="center"/>
            <w:hideMark/>
          </w:tcPr>
          <w:p w:rsidR="00E30634" w:rsidRDefault="00E30634">
            <w:pPr>
              <w:jc w:val="center"/>
              <w:rPr>
                <w:rFonts w:ascii="宋体" w:eastAsia="宋体" w:hAnsi="宋体" w:cs="宋体"/>
                <w:color w:val="000000"/>
                <w:sz w:val="22"/>
              </w:rPr>
            </w:pPr>
            <w:r>
              <w:rPr>
                <w:rFonts w:hint="eastAsia"/>
                <w:color w:val="000000"/>
                <w:sz w:val="22"/>
              </w:rPr>
              <w:t>镇江</w:t>
            </w:r>
          </w:p>
        </w:tc>
        <w:tc>
          <w:tcPr>
            <w:tcW w:w="402" w:type="pct"/>
            <w:tcBorders>
              <w:top w:val="nil"/>
              <w:left w:val="nil"/>
              <w:bottom w:val="single" w:sz="4" w:space="0" w:color="auto"/>
              <w:right w:val="single" w:sz="4" w:space="0" w:color="auto"/>
            </w:tcBorders>
            <w:shd w:val="clear" w:color="auto" w:fill="auto"/>
            <w:noWrap/>
            <w:vAlign w:val="bottom"/>
            <w:hideMark/>
          </w:tcPr>
          <w:p w:rsidR="00E30634" w:rsidRDefault="00E30634">
            <w:pPr>
              <w:jc w:val="center"/>
              <w:rPr>
                <w:rFonts w:ascii="宋体" w:eastAsia="宋体" w:hAnsi="宋体" w:cs="宋体"/>
                <w:color w:val="000000"/>
                <w:sz w:val="22"/>
              </w:rPr>
            </w:pPr>
            <w:r>
              <w:rPr>
                <w:rFonts w:hint="eastAsia"/>
                <w:color w:val="000000"/>
                <w:sz w:val="22"/>
              </w:rPr>
              <w:t>3</w:t>
            </w:r>
          </w:p>
        </w:tc>
        <w:tc>
          <w:tcPr>
            <w:tcW w:w="539" w:type="pct"/>
            <w:tcBorders>
              <w:top w:val="nil"/>
              <w:left w:val="nil"/>
              <w:bottom w:val="single" w:sz="4" w:space="0" w:color="auto"/>
              <w:right w:val="single" w:sz="4" w:space="0" w:color="auto"/>
            </w:tcBorders>
            <w:shd w:val="clear" w:color="auto" w:fill="auto"/>
            <w:noWrap/>
            <w:vAlign w:val="bottom"/>
            <w:hideMark/>
          </w:tcPr>
          <w:p w:rsidR="00E30634" w:rsidRDefault="00E30634">
            <w:pPr>
              <w:jc w:val="center"/>
              <w:rPr>
                <w:rFonts w:ascii="宋体" w:eastAsia="宋体" w:hAnsi="宋体" w:cs="宋体"/>
                <w:color w:val="000000"/>
                <w:sz w:val="22"/>
              </w:rPr>
            </w:pPr>
            <w:r>
              <w:rPr>
                <w:rFonts w:hint="eastAsia"/>
                <w:color w:val="000000"/>
                <w:sz w:val="22"/>
              </w:rPr>
              <w:t>14.13</w:t>
            </w:r>
          </w:p>
        </w:tc>
        <w:tc>
          <w:tcPr>
            <w:tcW w:w="416" w:type="pct"/>
            <w:tcBorders>
              <w:top w:val="nil"/>
              <w:left w:val="nil"/>
              <w:bottom w:val="single" w:sz="4" w:space="0" w:color="auto"/>
              <w:right w:val="single" w:sz="4" w:space="0" w:color="auto"/>
            </w:tcBorders>
            <w:shd w:val="clear" w:color="auto" w:fill="auto"/>
            <w:noWrap/>
            <w:vAlign w:val="bottom"/>
            <w:hideMark/>
          </w:tcPr>
          <w:p w:rsidR="00E30634" w:rsidRDefault="00E30634">
            <w:pPr>
              <w:jc w:val="center"/>
              <w:rPr>
                <w:rFonts w:ascii="宋体" w:eastAsia="宋体" w:hAnsi="宋体" w:cs="宋体"/>
                <w:color w:val="000000"/>
                <w:sz w:val="22"/>
              </w:rPr>
            </w:pPr>
            <w:r>
              <w:rPr>
                <w:rFonts w:hint="eastAsia"/>
                <w:color w:val="000000"/>
                <w:sz w:val="22"/>
              </w:rPr>
              <w:t>3</w:t>
            </w:r>
          </w:p>
        </w:tc>
        <w:tc>
          <w:tcPr>
            <w:tcW w:w="498" w:type="pct"/>
            <w:tcBorders>
              <w:top w:val="nil"/>
              <w:left w:val="nil"/>
              <w:bottom w:val="single" w:sz="4" w:space="0" w:color="auto"/>
              <w:right w:val="single" w:sz="4" w:space="0" w:color="auto"/>
            </w:tcBorders>
            <w:shd w:val="clear" w:color="auto" w:fill="auto"/>
            <w:noWrap/>
            <w:vAlign w:val="bottom"/>
            <w:hideMark/>
          </w:tcPr>
          <w:p w:rsidR="00E30634" w:rsidRDefault="00E30634">
            <w:pPr>
              <w:jc w:val="center"/>
              <w:rPr>
                <w:rFonts w:ascii="宋体" w:eastAsia="宋体" w:hAnsi="宋体" w:cs="宋体"/>
                <w:color w:val="000000"/>
                <w:sz w:val="22"/>
              </w:rPr>
            </w:pPr>
            <w:r>
              <w:rPr>
                <w:rFonts w:hint="eastAsia"/>
                <w:color w:val="000000"/>
                <w:sz w:val="22"/>
              </w:rPr>
              <w:t>14.13</w:t>
            </w:r>
          </w:p>
        </w:tc>
        <w:tc>
          <w:tcPr>
            <w:tcW w:w="666" w:type="pct"/>
            <w:tcBorders>
              <w:top w:val="nil"/>
              <w:left w:val="nil"/>
              <w:bottom w:val="single" w:sz="4" w:space="0" w:color="auto"/>
              <w:right w:val="single" w:sz="4" w:space="0" w:color="auto"/>
            </w:tcBorders>
            <w:shd w:val="clear" w:color="auto" w:fill="auto"/>
            <w:noWrap/>
            <w:vAlign w:val="bottom"/>
            <w:hideMark/>
          </w:tcPr>
          <w:p w:rsidR="00E30634" w:rsidRDefault="00E30634">
            <w:pPr>
              <w:jc w:val="center"/>
              <w:rPr>
                <w:rFonts w:ascii="宋体" w:eastAsia="宋体" w:hAnsi="宋体" w:cs="宋体"/>
                <w:color w:val="000000"/>
                <w:sz w:val="22"/>
              </w:rPr>
            </w:pPr>
            <w:r>
              <w:rPr>
                <w:rFonts w:hint="eastAsia"/>
                <w:color w:val="000000"/>
                <w:sz w:val="22"/>
              </w:rPr>
              <w:t>-66.37%</w:t>
            </w:r>
          </w:p>
        </w:tc>
        <w:tc>
          <w:tcPr>
            <w:tcW w:w="499" w:type="pct"/>
            <w:tcBorders>
              <w:top w:val="nil"/>
              <w:left w:val="nil"/>
              <w:bottom w:val="single" w:sz="4" w:space="0" w:color="auto"/>
              <w:right w:val="single" w:sz="4" w:space="0" w:color="auto"/>
            </w:tcBorders>
            <w:shd w:val="clear" w:color="auto" w:fill="auto"/>
            <w:noWrap/>
            <w:vAlign w:val="center"/>
            <w:hideMark/>
          </w:tcPr>
          <w:p w:rsidR="00E30634" w:rsidRDefault="00E30634">
            <w:pPr>
              <w:jc w:val="center"/>
              <w:rPr>
                <w:rFonts w:ascii="宋体" w:eastAsia="宋体" w:hAnsi="宋体" w:cs="宋体"/>
                <w:color w:val="000000"/>
                <w:sz w:val="22"/>
              </w:rPr>
            </w:pPr>
            <w:r>
              <w:rPr>
                <w:rFonts w:hint="eastAsia"/>
                <w:color w:val="000000"/>
                <w:sz w:val="22"/>
              </w:rPr>
              <w:t xml:space="preserve">3.71 </w:t>
            </w:r>
          </w:p>
        </w:tc>
        <w:tc>
          <w:tcPr>
            <w:tcW w:w="666" w:type="pct"/>
            <w:tcBorders>
              <w:top w:val="nil"/>
              <w:left w:val="nil"/>
              <w:bottom w:val="single" w:sz="4" w:space="0" w:color="auto"/>
              <w:right w:val="single" w:sz="4" w:space="0" w:color="auto"/>
            </w:tcBorders>
            <w:shd w:val="clear" w:color="auto" w:fill="auto"/>
            <w:noWrap/>
            <w:vAlign w:val="center"/>
            <w:hideMark/>
          </w:tcPr>
          <w:p w:rsidR="00E30634" w:rsidRDefault="00E30634">
            <w:pPr>
              <w:jc w:val="center"/>
              <w:rPr>
                <w:rFonts w:ascii="宋体" w:eastAsia="宋体" w:hAnsi="宋体" w:cs="宋体"/>
                <w:color w:val="000000"/>
                <w:sz w:val="22"/>
              </w:rPr>
            </w:pPr>
            <w:r>
              <w:rPr>
                <w:rFonts w:hint="eastAsia"/>
                <w:color w:val="000000"/>
                <w:sz w:val="22"/>
              </w:rPr>
              <w:t>-9.29%</w:t>
            </w:r>
          </w:p>
        </w:tc>
        <w:tc>
          <w:tcPr>
            <w:tcW w:w="445" w:type="pct"/>
            <w:tcBorders>
              <w:top w:val="nil"/>
              <w:left w:val="nil"/>
              <w:bottom w:val="single" w:sz="4" w:space="0" w:color="auto"/>
              <w:right w:val="single" w:sz="4" w:space="0" w:color="auto"/>
            </w:tcBorders>
            <w:shd w:val="clear" w:color="auto" w:fill="auto"/>
            <w:noWrap/>
            <w:vAlign w:val="bottom"/>
            <w:hideMark/>
          </w:tcPr>
          <w:p w:rsidR="00E30634" w:rsidRDefault="00E30634">
            <w:pPr>
              <w:jc w:val="center"/>
              <w:rPr>
                <w:rFonts w:ascii="宋体" w:eastAsia="宋体" w:hAnsi="宋体" w:cs="宋体"/>
                <w:color w:val="000000"/>
                <w:sz w:val="22"/>
              </w:rPr>
            </w:pPr>
            <w:r>
              <w:rPr>
                <w:rFonts w:hint="eastAsia"/>
                <w:color w:val="000000"/>
                <w:sz w:val="22"/>
              </w:rPr>
              <w:t>0</w:t>
            </w:r>
          </w:p>
        </w:tc>
      </w:tr>
      <w:tr w:rsidR="00E30634" w:rsidRPr="007C5492" w:rsidTr="007C5492">
        <w:trPr>
          <w:trHeight w:val="270"/>
        </w:trPr>
        <w:tc>
          <w:tcPr>
            <w:tcW w:w="458" w:type="pct"/>
            <w:vMerge/>
            <w:tcBorders>
              <w:top w:val="nil"/>
              <w:left w:val="single" w:sz="4" w:space="0" w:color="auto"/>
              <w:bottom w:val="single" w:sz="4" w:space="0" w:color="auto"/>
              <w:right w:val="single" w:sz="4" w:space="0" w:color="auto"/>
            </w:tcBorders>
            <w:vAlign w:val="center"/>
            <w:hideMark/>
          </w:tcPr>
          <w:p w:rsidR="00E30634" w:rsidRPr="007C5492" w:rsidRDefault="00E30634" w:rsidP="007C5492">
            <w:pPr>
              <w:widowControl/>
              <w:jc w:val="left"/>
              <w:rPr>
                <w:rFonts w:ascii="宋体" w:eastAsia="宋体" w:hAnsi="宋体" w:cs="宋体"/>
                <w:b/>
                <w:bCs/>
                <w:color w:val="000000"/>
                <w:kern w:val="0"/>
                <w:szCs w:val="21"/>
              </w:rPr>
            </w:pPr>
          </w:p>
        </w:tc>
        <w:tc>
          <w:tcPr>
            <w:tcW w:w="411" w:type="pct"/>
            <w:tcBorders>
              <w:top w:val="nil"/>
              <w:left w:val="nil"/>
              <w:bottom w:val="single" w:sz="4" w:space="0" w:color="auto"/>
              <w:right w:val="single" w:sz="4" w:space="0" w:color="auto"/>
            </w:tcBorders>
            <w:shd w:val="clear" w:color="000000" w:fill="DDD9C4"/>
            <w:noWrap/>
            <w:vAlign w:val="center"/>
            <w:hideMark/>
          </w:tcPr>
          <w:p w:rsidR="00E30634" w:rsidRDefault="00E30634">
            <w:pPr>
              <w:jc w:val="center"/>
              <w:rPr>
                <w:rFonts w:ascii="宋体" w:eastAsia="宋体" w:hAnsi="宋体" w:cs="宋体"/>
                <w:b/>
                <w:bCs/>
                <w:color w:val="000000"/>
                <w:sz w:val="22"/>
              </w:rPr>
            </w:pPr>
            <w:r>
              <w:rPr>
                <w:rFonts w:hint="eastAsia"/>
                <w:b/>
                <w:bCs/>
                <w:color w:val="000000"/>
                <w:sz w:val="22"/>
              </w:rPr>
              <w:t>合计</w:t>
            </w:r>
          </w:p>
        </w:tc>
        <w:tc>
          <w:tcPr>
            <w:tcW w:w="402" w:type="pct"/>
            <w:tcBorders>
              <w:top w:val="nil"/>
              <w:left w:val="nil"/>
              <w:bottom w:val="single" w:sz="4" w:space="0" w:color="auto"/>
              <w:right w:val="single" w:sz="4" w:space="0" w:color="auto"/>
            </w:tcBorders>
            <w:shd w:val="clear" w:color="000000" w:fill="DDD9C4"/>
            <w:noWrap/>
            <w:vAlign w:val="center"/>
            <w:hideMark/>
          </w:tcPr>
          <w:p w:rsidR="00E30634" w:rsidRDefault="00E30634">
            <w:pPr>
              <w:jc w:val="center"/>
              <w:rPr>
                <w:rFonts w:ascii="宋体" w:eastAsia="宋体" w:hAnsi="宋体" w:cs="宋体"/>
                <w:color w:val="000000"/>
                <w:sz w:val="22"/>
              </w:rPr>
            </w:pPr>
            <w:r>
              <w:rPr>
                <w:rFonts w:hint="eastAsia"/>
                <w:color w:val="000000"/>
                <w:sz w:val="22"/>
              </w:rPr>
              <w:t xml:space="preserve">27 </w:t>
            </w:r>
          </w:p>
        </w:tc>
        <w:tc>
          <w:tcPr>
            <w:tcW w:w="539" w:type="pct"/>
            <w:tcBorders>
              <w:top w:val="nil"/>
              <w:left w:val="nil"/>
              <w:bottom w:val="single" w:sz="4" w:space="0" w:color="auto"/>
              <w:right w:val="single" w:sz="4" w:space="0" w:color="auto"/>
            </w:tcBorders>
            <w:shd w:val="clear" w:color="000000" w:fill="DDD9C4"/>
            <w:noWrap/>
            <w:vAlign w:val="center"/>
            <w:hideMark/>
          </w:tcPr>
          <w:p w:rsidR="00E30634" w:rsidRDefault="00E30634">
            <w:pPr>
              <w:jc w:val="center"/>
              <w:rPr>
                <w:rFonts w:ascii="宋体" w:eastAsia="宋体" w:hAnsi="宋体" w:cs="宋体"/>
                <w:color w:val="000000"/>
                <w:sz w:val="22"/>
              </w:rPr>
            </w:pPr>
            <w:r>
              <w:rPr>
                <w:rFonts w:hint="eastAsia"/>
                <w:color w:val="000000"/>
                <w:sz w:val="22"/>
              </w:rPr>
              <w:t xml:space="preserve">84.35 </w:t>
            </w:r>
          </w:p>
        </w:tc>
        <w:tc>
          <w:tcPr>
            <w:tcW w:w="416" w:type="pct"/>
            <w:tcBorders>
              <w:top w:val="nil"/>
              <w:left w:val="nil"/>
              <w:bottom w:val="single" w:sz="4" w:space="0" w:color="auto"/>
              <w:right w:val="single" w:sz="4" w:space="0" w:color="auto"/>
            </w:tcBorders>
            <w:shd w:val="clear" w:color="000000" w:fill="DDD9C4"/>
            <w:noWrap/>
            <w:vAlign w:val="center"/>
            <w:hideMark/>
          </w:tcPr>
          <w:p w:rsidR="00E30634" w:rsidRDefault="00E30634">
            <w:pPr>
              <w:jc w:val="center"/>
              <w:rPr>
                <w:rFonts w:ascii="宋体" w:eastAsia="宋体" w:hAnsi="宋体" w:cs="宋体"/>
                <w:color w:val="000000"/>
                <w:sz w:val="22"/>
              </w:rPr>
            </w:pPr>
            <w:r>
              <w:rPr>
                <w:rFonts w:hint="eastAsia"/>
                <w:color w:val="000000"/>
                <w:sz w:val="22"/>
              </w:rPr>
              <w:t xml:space="preserve">25 </w:t>
            </w:r>
          </w:p>
        </w:tc>
        <w:tc>
          <w:tcPr>
            <w:tcW w:w="498" w:type="pct"/>
            <w:tcBorders>
              <w:top w:val="nil"/>
              <w:left w:val="nil"/>
              <w:bottom w:val="single" w:sz="4" w:space="0" w:color="auto"/>
              <w:right w:val="single" w:sz="4" w:space="0" w:color="auto"/>
            </w:tcBorders>
            <w:shd w:val="clear" w:color="000000" w:fill="DDD9C4"/>
            <w:noWrap/>
            <w:vAlign w:val="center"/>
            <w:hideMark/>
          </w:tcPr>
          <w:p w:rsidR="00E30634" w:rsidRDefault="00E30634">
            <w:pPr>
              <w:jc w:val="center"/>
              <w:rPr>
                <w:rFonts w:ascii="宋体" w:eastAsia="宋体" w:hAnsi="宋体" w:cs="宋体"/>
                <w:color w:val="000000"/>
                <w:sz w:val="22"/>
              </w:rPr>
            </w:pPr>
            <w:r>
              <w:rPr>
                <w:rFonts w:hint="eastAsia"/>
                <w:color w:val="000000"/>
                <w:sz w:val="22"/>
              </w:rPr>
              <w:t xml:space="preserve">80.69 </w:t>
            </w:r>
          </w:p>
        </w:tc>
        <w:tc>
          <w:tcPr>
            <w:tcW w:w="666" w:type="pct"/>
            <w:tcBorders>
              <w:top w:val="nil"/>
              <w:left w:val="nil"/>
              <w:bottom w:val="single" w:sz="4" w:space="0" w:color="auto"/>
              <w:right w:val="single" w:sz="4" w:space="0" w:color="auto"/>
            </w:tcBorders>
            <w:shd w:val="clear" w:color="000000" w:fill="DDD9C4"/>
            <w:noWrap/>
            <w:vAlign w:val="bottom"/>
            <w:hideMark/>
          </w:tcPr>
          <w:p w:rsidR="00E30634" w:rsidRDefault="00E30634">
            <w:pPr>
              <w:jc w:val="center"/>
              <w:rPr>
                <w:rFonts w:ascii="宋体" w:eastAsia="宋体" w:hAnsi="宋体" w:cs="宋体"/>
                <w:color w:val="000000"/>
                <w:sz w:val="22"/>
              </w:rPr>
            </w:pPr>
            <w:r>
              <w:rPr>
                <w:rFonts w:hint="eastAsia"/>
                <w:color w:val="000000"/>
                <w:sz w:val="22"/>
              </w:rPr>
              <w:t>9.93%</w:t>
            </w:r>
          </w:p>
        </w:tc>
        <w:tc>
          <w:tcPr>
            <w:tcW w:w="499" w:type="pct"/>
            <w:tcBorders>
              <w:top w:val="nil"/>
              <w:left w:val="nil"/>
              <w:bottom w:val="single" w:sz="4" w:space="0" w:color="auto"/>
              <w:right w:val="single" w:sz="4" w:space="0" w:color="auto"/>
            </w:tcBorders>
            <w:shd w:val="clear" w:color="000000" w:fill="DDD9C4"/>
            <w:noWrap/>
            <w:vAlign w:val="center"/>
            <w:hideMark/>
          </w:tcPr>
          <w:p w:rsidR="00E30634" w:rsidRDefault="00E30634">
            <w:pPr>
              <w:jc w:val="center"/>
              <w:rPr>
                <w:rFonts w:ascii="宋体" w:eastAsia="宋体" w:hAnsi="宋体" w:cs="宋体"/>
                <w:color w:val="000000"/>
                <w:sz w:val="22"/>
              </w:rPr>
            </w:pPr>
            <w:r>
              <w:rPr>
                <w:rFonts w:hint="eastAsia"/>
                <w:color w:val="000000"/>
                <w:sz w:val="22"/>
              </w:rPr>
              <w:t xml:space="preserve">46.50 </w:t>
            </w:r>
          </w:p>
        </w:tc>
        <w:tc>
          <w:tcPr>
            <w:tcW w:w="666" w:type="pct"/>
            <w:tcBorders>
              <w:top w:val="nil"/>
              <w:left w:val="nil"/>
              <w:bottom w:val="single" w:sz="4" w:space="0" w:color="auto"/>
              <w:right w:val="single" w:sz="4" w:space="0" w:color="auto"/>
            </w:tcBorders>
            <w:shd w:val="clear" w:color="000000" w:fill="DDD9C4"/>
            <w:noWrap/>
            <w:vAlign w:val="center"/>
            <w:hideMark/>
          </w:tcPr>
          <w:p w:rsidR="00E30634" w:rsidRDefault="00E30634">
            <w:pPr>
              <w:jc w:val="center"/>
              <w:rPr>
                <w:rFonts w:ascii="宋体" w:eastAsia="宋体" w:hAnsi="宋体" w:cs="宋体"/>
                <w:color w:val="000000"/>
                <w:sz w:val="22"/>
              </w:rPr>
            </w:pPr>
            <w:r>
              <w:rPr>
                <w:rFonts w:hint="eastAsia"/>
                <w:color w:val="000000"/>
                <w:sz w:val="22"/>
              </w:rPr>
              <w:t>200.78%</w:t>
            </w:r>
          </w:p>
        </w:tc>
        <w:tc>
          <w:tcPr>
            <w:tcW w:w="445" w:type="pct"/>
            <w:tcBorders>
              <w:top w:val="nil"/>
              <w:left w:val="nil"/>
              <w:bottom w:val="single" w:sz="4" w:space="0" w:color="auto"/>
              <w:right w:val="single" w:sz="4" w:space="0" w:color="auto"/>
            </w:tcBorders>
            <w:shd w:val="clear" w:color="000000" w:fill="DDD9C4"/>
            <w:noWrap/>
            <w:vAlign w:val="bottom"/>
            <w:hideMark/>
          </w:tcPr>
          <w:p w:rsidR="00E30634" w:rsidRDefault="00E30634">
            <w:pPr>
              <w:jc w:val="center"/>
              <w:rPr>
                <w:rFonts w:ascii="宋体" w:eastAsia="宋体" w:hAnsi="宋体" w:cs="宋体"/>
                <w:color w:val="000000"/>
                <w:sz w:val="22"/>
              </w:rPr>
            </w:pPr>
            <w:r>
              <w:rPr>
                <w:rFonts w:hint="eastAsia"/>
                <w:color w:val="000000"/>
                <w:sz w:val="22"/>
              </w:rPr>
              <w:t>10</w:t>
            </w:r>
          </w:p>
        </w:tc>
      </w:tr>
      <w:tr w:rsidR="00E30634" w:rsidRPr="007C5492" w:rsidTr="007C5492">
        <w:trPr>
          <w:trHeight w:val="270"/>
        </w:trPr>
        <w:tc>
          <w:tcPr>
            <w:tcW w:w="458" w:type="pct"/>
            <w:tcBorders>
              <w:top w:val="nil"/>
              <w:left w:val="single" w:sz="4" w:space="0" w:color="auto"/>
              <w:bottom w:val="single" w:sz="4" w:space="0" w:color="auto"/>
              <w:right w:val="single" w:sz="4" w:space="0" w:color="auto"/>
            </w:tcBorders>
            <w:shd w:val="clear" w:color="000000" w:fill="C4BD97"/>
            <w:noWrap/>
            <w:vAlign w:val="center"/>
            <w:hideMark/>
          </w:tcPr>
          <w:p w:rsidR="00E30634" w:rsidRPr="007C5492" w:rsidRDefault="00E30634" w:rsidP="007C5492">
            <w:pPr>
              <w:widowControl/>
              <w:jc w:val="center"/>
              <w:rPr>
                <w:rFonts w:ascii="宋体" w:eastAsia="宋体" w:hAnsi="宋体" w:cs="宋体"/>
                <w:color w:val="000000"/>
                <w:kern w:val="0"/>
                <w:szCs w:val="21"/>
              </w:rPr>
            </w:pPr>
            <w:r w:rsidRPr="007C5492">
              <w:rPr>
                <w:rFonts w:ascii="宋体" w:eastAsia="宋体" w:hAnsi="宋体" w:cs="宋体" w:hint="eastAsia"/>
                <w:color w:val="000000"/>
                <w:kern w:val="0"/>
                <w:szCs w:val="21"/>
              </w:rPr>
              <w:t xml:space="preserve">　</w:t>
            </w:r>
          </w:p>
        </w:tc>
        <w:tc>
          <w:tcPr>
            <w:tcW w:w="411" w:type="pct"/>
            <w:tcBorders>
              <w:top w:val="nil"/>
              <w:left w:val="nil"/>
              <w:bottom w:val="single" w:sz="4" w:space="0" w:color="auto"/>
              <w:right w:val="single" w:sz="4" w:space="0" w:color="auto"/>
            </w:tcBorders>
            <w:shd w:val="clear" w:color="000000" w:fill="C4BD97"/>
            <w:noWrap/>
            <w:vAlign w:val="center"/>
            <w:hideMark/>
          </w:tcPr>
          <w:p w:rsidR="00E30634" w:rsidRDefault="00E30634">
            <w:pPr>
              <w:jc w:val="center"/>
              <w:rPr>
                <w:rFonts w:ascii="宋体" w:eastAsia="宋体" w:hAnsi="宋体" w:cs="宋体"/>
                <w:b/>
                <w:bCs/>
                <w:color w:val="000000"/>
                <w:sz w:val="22"/>
              </w:rPr>
            </w:pPr>
            <w:r>
              <w:rPr>
                <w:rFonts w:hint="eastAsia"/>
                <w:b/>
                <w:bCs/>
                <w:color w:val="000000"/>
                <w:sz w:val="22"/>
              </w:rPr>
              <w:t>总计</w:t>
            </w:r>
          </w:p>
        </w:tc>
        <w:tc>
          <w:tcPr>
            <w:tcW w:w="402" w:type="pct"/>
            <w:tcBorders>
              <w:top w:val="nil"/>
              <w:left w:val="nil"/>
              <w:bottom w:val="single" w:sz="4" w:space="0" w:color="auto"/>
              <w:right w:val="single" w:sz="4" w:space="0" w:color="auto"/>
            </w:tcBorders>
            <w:shd w:val="clear" w:color="000000" w:fill="C4BD97"/>
            <w:noWrap/>
            <w:vAlign w:val="center"/>
            <w:hideMark/>
          </w:tcPr>
          <w:p w:rsidR="00E30634" w:rsidRDefault="00E30634">
            <w:pPr>
              <w:jc w:val="center"/>
              <w:rPr>
                <w:rFonts w:ascii="宋体" w:eastAsia="宋体" w:hAnsi="宋体" w:cs="宋体"/>
                <w:color w:val="000000"/>
                <w:sz w:val="22"/>
              </w:rPr>
            </w:pPr>
            <w:r>
              <w:rPr>
                <w:rFonts w:hint="eastAsia"/>
                <w:color w:val="000000"/>
                <w:sz w:val="22"/>
              </w:rPr>
              <w:t xml:space="preserve">82 </w:t>
            </w:r>
          </w:p>
        </w:tc>
        <w:tc>
          <w:tcPr>
            <w:tcW w:w="539" w:type="pct"/>
            <w:tcBorders>
              <w:top w:val="nil"/>
              <w:left w:val="nil"/>
              <w:bottom w:val="single" w:sz="4" w:space="0" w:color="auto"/>
              <w:right w:val="single" w:sz="4" w:space="0" w:color="auto"/>
            </w:tcBorders>
            <w:shd w:val="clear" w:color="000000" w:fill="C4BD97"/>
            <w:noWrap/>
            <w:vAlign w:val="center"/>
            <w:hideMark/>
          </w:tcPr>
          <w:p w:rsidR="00E30634" w:rsidRDefault="00E30634">
            <w:pPr>
              <w:jc w:val="center"/>
              <w:rPr>
                <w:rFonts w:ascii="宋体" w:eastAsia="宋体" w:hAnsi="宋体" w:cs="宋体"/>
                <w:color w:val="000000"/>
                <w:sz w:val="22"/>
              </w:rPr>
            </w:pPr>
            <w:r>
              <w:rPr>
                <w:rFonts w:hint="eastAsia"/>
                <w:color w:val="000000"/>
                <w:sz w:val="22"/>
              </w:rPr>
              <w:t xml:space="preserve">354.10 </w:t>
            </w:r>
          </w:p>
        </w:tc>
        <w:tc>
          <w:tcPr>
            <w:tcW w:w="416" w:type="pct"/>
            <w:tcBorders>
              <w:top w:val="nil"/>
              <w:left w:val="nil"/>
              <w:bottom w:val="single" w:sz="4" w:space="0" w:color="auto"/>
              <w:right w:val="single" w:sz="4" w:space="0" w:color="auto"/>
            </w:tcBorders>
            <w:shd w:val="clear" w:color="000000" w:fill="C4BD97"/>
            <w:noWrap/>
            <w:vAlign w:val="center"/>
            <w:hideMark/>
          </w:tcPr>
          <w:p w:rsidR="00E30634" w:rsidRDefault="00E30634">
            <w:pPr>
              <w:jc w:val="center"/>
              <w:rPr>
                <w:rFonts w:ascii="宋体" w:eastAsia="宋体" w:hAnsi="宋体" w:cs="宋体"/>
                <w:color w:val="000000"/>
                <w:sz w:val="22"/>
              </w:rPr>
            </w:pPr>
            <w:r>
              <w:rPr>
                <w:rFonts w:hint="eastAsia"/>
                <w:color w:val="000000"/>
                <w:sz w:val="22"/>
              </w:rPr>
              <w:t xml:space="preserve">73 </w:t>
            </w:r>
          </w:p>
        </w:tc>
        <w:tc>
          <w:tcPr>
            <w:tcW w:w="498" w:type="pct"/>
            <w:tcBorders>
              <w:top w:val="nil"/>
              <w:left w:val="nil"/>
              <w:bottom w:val="single" w:sz="4" w:space="0" w:color="auto"/>
              <w:right w:val="single" w:sz="4" w:space="0" w:color="auto"/>
            </w:tcBorders>
            <w:shd w:val="clear" w:color="000000" w:fill="C4BD97"/>
            <w:noWrap/>
            <w:vAlign w:val="center"/>
            <w:hideMark/>
          </w:tcPr>
          <w:p w:rsidR="00E30634" w:rsidRDefault="00E30634">
            <w:pPr>
              <w:jc w:val="center"/>
              <w:rPr>
                <w:rFonts w:ascii="宋体" w:eastAsia="宋体" w:hAnsi="宋体" w:cs="宋体"/>
                <w:color w:val="000000"/>
                <w:sz w:val="22"/>
              </w:rPr>
            </w:pPr>
            <w:r>
              <w:rPr>
                <w:rFonts w:hint="eastAsia"/>
                <w:color w:val="000000"/>
                <w:sz w:val="22"/>
              </w:rPr>
              <w:t xml:space="preserve">319.41 </w:t>
            </w:r>
          </w:p>
        </w:tc>
        <w:tc>
          <w:tcPr>
            <w:tcW w:w="666" w:type="pct"/>
            <w:tcBorders>
              <w:top w:val="nil"/>
              <w:left w:val="nil"/>
              <w:bottom w:val="single" w:sz="4" w:space="0" w:color="auto"/>
              <w:right w:val="single" w:sz="4" w:space="0" w:color="auto"/>
            </w:tcBorders>
            <w:shd w:val="clear" w:color="000000" w:fill="C4BD97"/>
            <w:noWrap/>
            <w:vAlign w:val="bottom"/>
            <w:hideMark/>
          </w:tcPr>
          <w:p w:rsidR="00E30634" w:rsidRDefault="00E30634">
            <w:pPr>
              <w:jc w:val="center"/>
              <w:rPr>
                <w:rFonts w:ascii="宋体" w:eastAsia="宋体" w:hAnsi="宋体" w:cs="宋体"/>
                <w:color w:val="000000"/>
                <w:sz w:val="22"/>
              </w:rPr>
            </w:pPr>
            <w:r>
              <w:rPr>
                <w:rFonts w:hint="eastAsia"/>
                <w:color w:val="000000"/>
                <w:sz w:val="22"/>
              </w:rPr>
              <w:t>12.68%</w:t>
            </w:r>
          </w:p>
        </w:tc>
        <w:tc>
          <w:tcPr>
            <w:tcW w:w="499" w:type="pct"/>
            <w:tcBorders>
              <w:top w:val="nil"/>
              <w:left w:val="nil"/>
              <w:bottom w:val="single" w:sz="4" w:space="0" w:color="auto"/>
              <w:right w:val="single" w:sz="4" w:space="0" w:color="auto"/>
            </w:tcBorders>
            <w:shd w:val="clear" w:color="000000" w:fill="C4BD97"/>
            <w:noWrap/>
            <w:vAlign w:val="center"/>
            <w:hideMark/>
          </w:tcPr>
          <w:p w:rsidR="00E30634" w:rsidRDefault="00E30634">
            <w:pPr>
              <w:jc w:val="center"/>
              <w:rPr>
                <w:rFonts w:ascii="宋体" w:eastAsia="宋体" w:hAnsi="宋体" w:cs="宋体"/>
                <w:color w:val="000000"/>
                <w:sz w:val="22"/>
              </w:rPr>
            </w:pPr>
            <w:r>
              <w:rPr>
                <w:rFonts w:hint="eastAsia"/>
                <w:color w:val="000000"/>
                <w:sz w:val="22"/>
              </w:rPr>
              <w:t xml:space="preserve">516.97 </w:t>
            </w:r>
          </w:p>
        </w:tc>
        <w:tc>
          <w:tcPr>
            <w:tcW w:w="666" w:type="pct"/>
            <w:tcBorders>
              <w:top w:val="nil"/>
              <w:left w:val="nil"/>
              <w:bottom w:val="single" w:sz="4" w:space="0" w:color="auto"/>
              <w:right w:val="single" w:sz="4" w:space="0" w:color="auto"/>
            </w:tcBorders>
            <w:shd w:val="clear" w:color="000000" w:fill="C4BD97"/>
            <w:noWrap/>
            <w:vAlign w:val="center"/>
            <w:hideMark/>
          </w:tcPr>
          <w:p w:rsidR="00E30634" w:rsidRDefault="00E30634">
            <w:pPr>
              <w:jc w:val="center"/>
              <w:rPr>
                <w:rFonts w:ascii="宋体" w:eastAsia="宋体" w:hAnsi="宋体" w:cs="宋体"/>
                <w:color w:val="000000"/>
                <w:sz w:val="22"/>
              </w:rPr>
            </w:pPr>
            <w:r>
              <w:rPr>
                <w:rFonts w:hint="eastAsia"/>
                <w:color w:val="000000"/>
                <w:sz w:val="22"/>
              </w:rPr>
              <w:t>95.27%</w:t>
            </w:r>
          </w:p>
        </w:tc>
        <w:tc>
          <w:tcPr>
            <w:tcW w:w="445" w:type="pct"/>
            <w:tcBorders>
              <w:top w:val="nil"/>
              <w:left w:val="nil"/>
              <w:bottom w:val="single" w:sz="4" w:space="0" w:color="auto"/>
              <w:right w:val="single" w:sz="4" w:space="0" w:color="auto"/>
            </w:tcBorders>
            <w:shd w:val="clear" w:color="000000" w:fill="C4BD97"/>
            <w:noWrap/>
            <w:vAlign w:val="center"/>
            <w:hideMark/>
          </w:tcPr>
          <w:p w:rsidR="00E30634" w:rsidRDefault="00E30634">
            <w:pPr>
              <w:jc w:val="center"/>
              <w:rPr>
                <w:rFonts w:ascii="宋体" w:eastAsia="宋体" w:hAnsi="宋体" w:cs="宋体"/>
                <w:color w:val="000000"/>
                <w:sz w:val="22"/>
              </w:rPr>
            </w:pPr>
            <w:r>
              <w:rPr>
                <w:rFonts w:hint="eastAsia"/>
                <w:color w:val="000000"/>
                <w:sz w:val="22"/>
              </w:rPr>
              <w:t xml:space="preserve">34 </w:t>
            </w:r>
          </w:p>
        </w:tc>
      </w:tr>
    </w:tbl>
    <w:p w:rsidR="007C5492" w:rsidRDefault="00B92398" w:rsidP="0086328F">
      <w:pPr>
        <w:spacing w:beforeLines="50" w:before="156" w:line="360" w:lineRule="auto"/>
        <w:ind w:firstLineChars="200" w:firstLine="480"/>
        <w:rPr>
          <w:rFonts w:ascii="Times New Roman" w:hAnsi="Times New Roman" w:cs="Times New Roman"/>
          <w:color w:val="000000"/>
          <w:sz w:val="24"/>
          <w:szCs w:val="24"/>
          <w:shd w:val="clear" w:color="auto" w:fill="FAFCFF"/>
        </w:rPr>
      </w:pPr>
      <w:r w:rsidRPr="00225C00">
        <w:rPr>
          <w:rFonts w:ascii="Times New Roman" w:hAnsi="Times New Roman" w:cs="Times New Roman"/>
          <w:color w:val="000000"/>
          <w:sz w:val="24"/>
          <w:szCs w:val="24"/>
          <w:shd w:val="clear" w:color="auto" w:fill="FAFCFF"/>
        </w:rPr>
        <w:t>苏南五市近期土地供应及成交走势如图</w:t>
      </w:r>
      <w:r w:rsidR="00E64BF5" w:rsidRPr="00225C00">
        <w:rPr>
          <w:rFonts w:ascii="Times New Roman" w:hAnsi="Times New Roman" w:cs="Times New Roman" w:hint="eastAsia"/>
          <w:color w:val="000000"/>
          <w:sz w:val="24"/>
          <w:szCs w:val="24"/>
          <w:shd w:val="clear" w:color="auto" w:fill="FAFCFF"/>
        </w:rPr>
        <w:t>1</w:t>
      </w:r>
      <w:r w:rsidRPr="00225C00">
        <w:rPr>
          <w:rFonts w:ascii="Times New Roman" w:hAnsi="Times New Roman" w:cs="Times New Roman"/>
          <w:color w:val="000000"/>
          <w:sz w:val="24"/>
          <w:szCs w:val="24"/>
          <w:shd w:val="clear" w:color="auto" w:fill="FAFCFF"/>
        </w:rPr>
        <w:t>和图</w:t>
      </w:r>
      <w:r w:rsidR="00E64BF5" w:rsidRPr="00225C00">
        <w:rPr>
          <w:rFonts w:ascii="Times New Roman" w:hAnsi="Times New Roman" w:cs="Times New Roman" w:hint="eastAsia"/>
          <w:color w:val="000000"/>
          <w:sz w:val="24"/>
          <w:szCs w:val="24"/>
          <w:shd w:val="clear" w:color="auto" w:fill="FAFCFF"/>
        </w:rPr>
        <w:t>2</w:t>
      </w:r>
      <w:r w:rsidRPr="00225C00">
        <w:rPr>
          <w:rFonts w:ascii="Times New Roman" w:hAnsi="Times New Roman" w:cs="Times New Roman"/>
          <w:color w:val="000000"/>
          <w:sz w:val="24"/>
          <w:szCs w:val="24"/>
          <w:shd w:val="clear" w:color="auto" w:fill="FAFCFF"/>
        </w:rPr>
        <w:t>：</w:t>
      </w:r>
    </w:p>
    <w:p w:rsidR="001D478C" w:rsidRDefault="001D478C" w:rsidP="00CC4C68">
      <w:pPr>
        <w:spacing w:line="360" w:lineRule="auto"/>
        <w:jc w:val="center"/>
        <w:rPr>
          <w:rFonts w:ascii="Times New Roman" w:hAnsi="Times New Roman" w:cs="Times New Roman"/>
          <w:color w:val="000000"/>
          <w:sz w:val="24"/>
          <w:szCs w:val="24"/>
          <w:shd w:val="clear" w:color="auto" w:fill="FAFCFF"/>
        </w:rPr>
      </w:pPr>
      <w:r>
        <w:rPr>
          <w:noProof/>
        </w:rPr>
        <w:drawing>
          <wp:inline distT="0" distB="0" distL="0" distR="0" wp14:anchorId="171D3CBB" wp14:editId="57AF88C8">
            <wp:extent cx="4572000" cy="2428875"/>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C4C68" w:rsidRPr="006142F0" w:rsidRDefault="00CC4C68" w:rsidP="00CC4C68">
      <w:pPr>
        <w:spacing w:line="360" w:lineRule="auto"/>
        <w:jc w:val="center"/>
        <w:rPr>
          <w:rFonts w:ascii="Times New Roman" w:hAnsi="Times New Roman" w:cs="Times New Roman"/>
          <w:b/>
        </w:rPr>
      </w:pPr>
      <w:r w:rsidRPr="006142F0">
        <w:rPr>
          <w:rFonts w:ascii="Times New Roman" w:hAnsi="Times New Roman" w:cs="Times New Roman"/>
          <w:b/>
        </w:rPr>
        <w:t>图</w:t>
      </w:r>
      <w:r w:rsidRPr="006142F0">
        <w:rPr>
          <w:rFonts w:ascii="Times New Roman" w:hAnsi="Times New Roman" w:cs="Times New Roman" w:hint="eastAsia"/>
          <w:b/>
        </w:rPr>
        <w:t>1</w:t>
      </w:r>
      <w:r w:rsidRPr="006142F0">
        <w:rPr>
          <w:rFonts w:ascii="Times New Roman" w:hAnsi="Times New Roman" w:cs="Times New Roman"/>
          <w:b/>
        </w:rPr>
        <w:t xml:space="preserve"> </w:t>
      </w:r>
      <w:r w:rsidRPr="006142F0">
        <w:rPr>
          <w:rFonts w:ascii="Times New Roman" w:hAnsi="Times New Roman" w:cs="Times New Roman"/>
          <w:b/>
        </w:rPr>
        <w:t>苏南五市</w:t>
      </w:r>
      <w:r w:rsidRPr="006142F0">
        <w:rPr>
          <w:rFonts w:ascii="Times New Roman" w:hAnsi="Times New Roman" w:cs="Times New Roman"/>
          <w:b/>
        </w:rPr>
        <w:t>2013</w:t>
      </w:r>
      <w:r w:rsidRPr="006142F0">
        <w:rPr>
          <w:rFonts w:ascii="Times New Roman" w:hAnsi="Times New Roman" w:cs="Times New Roman"/>
          <w:b/>
        </w:rPr>
        <w:t>年一季度至</w:t>
      </w:r>
      <w:r w:rsidRPr="006142F0">
        <w:rPr>
          <w:rFonts w:ascii="Times New Roman" w:hAnsi="Times New Roman" w:cs="Times New Roman"/>
          <w:b/>
        </w:rPr>
        <w:t>2015</w:t>
      </w:r>
      <w:r w:rsidR="001D478C">
        <w:rPr>
          <w:rFonts w:ascii="Times New Roman" w:hAnsi="Times New Roman" w:cs="Times New Roman" w:hint="eastAsia"/>
          <w:b/>
        </w:rPr>
        <w:t>年三</w:t>
      </w:r>
      <w:r w:rsidRPr="006142F0">
        <w:rPr>
          <w:rFonts w:ascii="Times New Roman" w:hAnsi="Times New Roman" w:cs="Times New Roman"/>
          <w:b/>
        </w:rPr>
        <w:t>季度经营性用地供应面积（单位：万</w:t>
      </w:r>
      <w:r w:rsidRPr="006142F0">
        <w:rPr>
          <w:rFonts w:ascii="Times New Roman" w:hAnsi="Times New Roman" w:cs="Times New Roman"/>
          <w:b/>
        </w:rPr>
        <w:t>m</w:t>
      </w:r>
      <w:r w:rsidRPr="006142F0">
        <w:rPr>
          <w:rFonts w:ascii="Times New Roman" w:hAnsi="Times New Roman" w:cs="Times New Roman"/>
          <w:b/>
          <w:vertAlign w:val="superscript"/>
        </w:rPr>
        <w:t>2</w:t>
      </w:r>
      <w:r w:rsidRPr="006142F0">
        <w:rPr>
          <w:rFonts w:ascii="Times New Roman" w:hAnsi="Times New Roman" w:cs="Times New Roman"/>
          <w:b/>
        </w:rPr>
        <w:t>）</w:t>
      </w:r>
    </w:p>
    <w:p w:rsidR="00CC4C68" w:rsidRPr="00451929" w:rsidRDefault="001D478C" w:rsidP="00CC4C68">
      <w:pPr>
        <w:spacing w:line="360" w:lineRule="auto"/>
        <w:jc w:val="center"/>
        <w:rPr>
          <w:rFonts w:ascii="Times New Roman" w:hAnsi="Times New Roman" w:cs="Times New Roman"/>
          <w:color w:val="000000"/>
          <w:sz w:val="24"/>
          <w:szCs w:val="24"/>
          <w:shd w:val="clear" w:color="auto" w:fill="FAFCFF"/>
        </w:rPr>
      </w:pPr>
      <w:r>
        <w:rPr>
          <w:noProof/>
        </w:rPr>
        <w:drawing>
          <wp:inline distT="0" distB="0" distL="0" distR="0" wp14:anchorId="22C9F7C7" wp14:editId="39335407">
            <wp:extent cx="4524375" cy="2628900"/>
            <wp:effectExtent l="0" t="0" r="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C4C68" w:rsidRPr="006142F0" w:rsidRDefault="00CC4C68" w:rsidP="00CC4C68">
      <w:pPr>
        <w:spacing w:line="360" w:lineRule="auto"/>
        <w:jc w:val="center"/>
        <w:rPr>
          <w:rFonts w:ascii="Times New Roman" w:hAnsi="Times New Roman" w:cs="Times New Roman"/>
          <w:b/>
          <w:color w:val="000000"/>
          <w:sz w:val="24"/>
          <w:szCs w:val="24"/>
          <w:shd w:val="clear" w:color="auto" w:fill="FAFCFF"/>
        </w:rPr>
      </w:pPr>
      <w:r w:rsidRPr="006142F0">
        <w:rPr>
          <w:rFonts w:ascii="Times New Roman" w:hAnsi="Times New Roman" w:cs="Times New Roman"/>
          <w:b/>
        </w:rPr>
        <w:t>图</w:t>
      </w:r>
      <w:r w:rsidRPr="006142F0">
        <w:rPr>
          <w:rFonts w:ascii="Times New Roman" w:hAnsi="Times New Roman" w:cs="Times New Roman" w:hint="eastAsia"/>
          <w:b/>
        </w:rPr>
        <w:t>2</w:t>
      </w:r>
      <w:r w:rsidRPr="006142F0">
        <w:rPr>
          <w:rFonts w:ascii="Times New Roman" w:hAnsi="Times New Roman" w:cs="Times New Roman"/>
          <w:b/>
        </w:rPr>
        <w:t xml:space="preserve"> </w:t>
      </w:r>
      <w:r w:rsidRPr="006142F0">
        <w:rPr>
          <w:rFonts w:ascii="Times New Roman" w:hAnsi="Times New Roman" w:cs="Times New Roman"/>
          <w:b/>
        </w:rPr>
        <w:t>苏南五市</w:t>
      </w:r>
      <w:r w:rsidRPr="006142F0">
        <w:rPr>
          <w:rFonts w:ascii="Times New Roman" w:hAnsi="Times New Roman" w:cs="Times New Roman"/>
          <w:b/>
        </w:rPr>
        <w:t>2013</w:t>
      </w:r>
      <w:r w:rsidRPr="006142F0">
        <w:rPr>
          <w:rFonts w:ascii="Times New Roman" w:hAnsi="Times New Roman" w:cs="Times New Roman"/>
          <w:b/>
        </w:rPr>
        <w:t>年一季度至</w:t>
      </w:r>
      <w:r w:rsidRPr="006142F0">
        <w:rPr>
          <w:rFonts w:ascii="Times New Roman" w:hAnsi="Times New Roman" w:cs="Times New Roman"/>
          <w:b/>
        </w:rPr>
        <w:t>2015</w:t>
      </w:r>
      <w:r w:rsidRPr="006142F0">
        <w:rPr>
          <w:rFonts w:ascii="Times New Roman" w:hAnsi="Times New Roman" w:cs="Times New Roman"/>
          <w:b/>
        </w:rPr>
        <w:t>年</w:t>
      </w:r>
      <w:r w:rsidR="001D478C">
        <w:rPr>
          <w:rFonts w:ascii="Times New Roman" w:hAnsi="Times New Roman" w:cs="Times New Roman" w:hint="eastAsia"/>
          <w:b/>
        </w:rPr>
        <w:t>三</w:t>
      </w:r>
      <w:r w:rsidRPr="006142F0">
        <w:rPr>
          <w:rFonts w:ascii="Times New Roman" w:hAnsi="Times New Roman" w:cs="Times New Roman"/>
          <w:b/>
        </w:rPr>
        <w:t>季度经营性用地成交面积（单位：万</w:t>
      </w:r>
      <w:r w:rsidRPr="006142F0">
        <w:rPr>
          <w:rFonts w:ascii="Times New Roman" w:hAnsi="Times New Roman" w:cs="Times New Roman"/>
          <w:b/>
        </w:rPr>
        <w:t>m</w:t>
      </w:r>
      <w:r w:rsidRPr="006142F0">
        <w:rPr>
          <w:rFonts w:ascii="Times New Roman" w:hAnsi="Times New Roman" w:cs="Times New Roman"/>
          <w:b/>
          <w:vertAlign w:val="superscript"/>
        </w:rPr>
        <w:t>2</w:t>
      </w:r>
      <w:r w:rsidRPr="006142F0">
        <w:rPr>
          <w:rFonts w:ascii="Times New Roman" w:hAnsi="Times New Roman" w:cs="Times New Roman"/>
          <w:b/>
        </w:rPr>
        <w:t>）</w:t>
      </w:r>
    </w:p>
    <w:p w:rsidR="008474D5" w:rsidRDefault="008474D5" w:rsidP="0086328F">
      <w:pPr>
        <w:spacing w:beforeLines="50" w:before="156" w:line="360" w:lineRule="auto"/>
        <w:rPr>
          <w:b/>
          <w:sz w:val="24"/>
          <w:szCs w:val="24"/>
        </w:rPr>
      </w:pPr>
      <w:r w:rsidRPr="008F29DD">
        <w:rPr>
          <w:rFonts w:hint="eastAsia"/>
          <w:b/>
          <w:sz w:val="24"/>
          <w:szCs w:val="24"/>
        </w:rPr>
        <w:lastRenderedPageBreak/>
        <w:t>（</w:t>
      </w:r>
      <w:r>
        <w:rPr>
          <w:rFonts w:hint="eastAsia"/>
          <w:b/>
          <w:sz w:val="24"/>
          <w:szCs w:val="24"/>
        </w:rPr>
        <w:t>二</w:t>
      </w:r>
      <w:r w:rsidRPr="008F29DD">
        <w:rPr>
          <w:rFonts w:hint="eastAsia"/>
          <w:b/>
          <w:sz w:val="24"/>
          <w:szCs w:val="24"/>
        </w:rPr>
        <w:t>）</w:t>
      </w:r>
      <w:r w:rsidR="00EB4B97">
        <w:rPr>
          <w:rFonts w:hint="eastAsia"/>
          <w:b/>
          <w:sz w:val="24"/>
          <w:szCs w:val="24"/>
        </w:rPr>
        <w:t>地价水平</w:t>
      </w:r>
    </w:p>
    <w:p w:rsidR="008474D5" w:rsidRPr="00225C00" w:rsidRDefault="00E3674A" w:rsidP="001D478C">
      <w:pPr>
        <w:spacing w:line="360" w:lineRule="auto"/>
        <w:ind w:firstLineChars="200" w:firstLine="480"/>
        <w:rPr>
          <w:rFonts w:ascii="Times New Roman" w:hAnsi="Times New Roman" w:cs="Times New Roman"/>
          <w:color w:val="000000"/>
          <w:sz w:val="24"/>
          <w:szCs w:val="24"/>
          <w:shd w:val="clear" w:color="auto" w:fill="FAFCFF"/>
        </w:rPr>
      </w:pPr>
      <w:r w:rsidRPr="00225C00">
        <w:rPr>
          <w:rFonts w:ascii="Times New Roman" w:hAnsi="Times New Roman" w:cs="Times New Roman" w:hint="eastAsia"/>
          <w:color w:val="000000"/>
          <w:sz w:val="24"/>
          <w:szCs w:val="24"/>
          <w:shd w:val="clear" w:color="auto" w:fill="FAFCFF"/>
        </w:rPr>
        <w:t>2015</w:t>
      </w:r>
      <w:r w:rsidR="009013F8">
        <w:rPr>
          <w:rFonts w:ascii="Times New Roman" w:hAnsi="Times New Roman" w:cs="Times New Roman" w:hint="eastAsia"/>
          <w:color w:val="000000"/>
          <w:sz w:val="24"/>
          <w:szCs w:val="24"/>
          <w:shd w:val="clear" w:color="auto" w:fill="FAFCFF"/>
        </w:rPr>
        <w:t>年第三</w:t>
      </w:r>
      <w:r w:rsidRPr="00225C00">
        <w:rPr>
          <w:rFonts w:ascii="Times New Roman" w:hAnsi="Times New Roman" w:cs="Times New Roman" w:hint="eastAsia"/>
          <w:color w:val="000000"/>
          <w:sz w:val="24"/>
          <w:szCs w:val="24"/>
          <w:shd w:val="clear" w:color="auto" w:fill="FAFCFF"/>
        </w:rPr>
        <w:t>季度，苏南五市土地收入达到</w:t>
      </w:r>
      <w:r w:rsidR="001D478C">
        <w:rPr>
          <w:rFonts w:ascii="Times New Roman" w:hAnsi="Times New Roman" w:cs="Times New Roman" w:hint="eastAsia"/>
          <w:color w:val="000000"/>
          <w:sz w:val="24"/>
          <w:szCs w:val="24"/>
          <w:shd w:val="clear" w:color="auto" w:fill="FAFCFF"/>
        </w:rPr>
        <w:t>516.97</w:t>
      </w:r>
      <w:r w:rsidRPr="00225C00">
        <w:rPr>
          <w:rFonts w:ascii="Times New Roman" w:hAnsi="Times New Roman" w:cs="Times New Roman" w:hint="eastAsia"/>
          <w:color w:val="000000"/>
          <w:sz w:val="24"/>
          <w:szCs w:val="24"/>
          <w:shd w:val="clear" w:color="auto" w:fill="FAFCFF"/>
        </w:rPr>
        <w:t>亿元，且第一方阵城市</w:t>
      </w:r>
      <w:r w:rsidR="000D12CC" w:rsidRPr="00225C00">
        <w:rPr>
          <w:rFonts w:ascii="Times New Roman" w:hAnsi="Times New Roman" w:cs="Times New Roman" w:hint="eastAsia"/>
          <w:color w:val="000000"/>
          <w:sz w:val="24"/>
          <w:szCs w:val="24"/>
          <w:shd w:val="clear" w:color="auto" w:fill="FAFCFF"/>
        </w:rPr>
        <w:t>土地收入</w:t>
      </w:r>
      <w:r w:rsidRPr="00225C00">
        <w:rPr>
          <w:rFonts w:ascii="Times New Roman" w:hAnsi="Times New Roman" w:cs="Times New Roman" w:hint="eastAsia"/>
          <w:color w:val="000000"/>
          <w:sz w:val="24"/>
          <w:szCs w:val="24"/>
          <w:shd w:val="clear" w:color="auto" w:fill="FAFCFF"/>
        </w:rPr>
        <w:t>贡献达到</w:t>
      </w:r>
      <w:r w:rsidR="001D478C">
        <w:rPr>
          <w:rFonts w:ascii="Times New Roman" w:hAnsi="Times New Roman" w:cs="Times New Roman" w:hint="eastAsia"/>
          <w:color w:val="000000"/>
          <w:sz w:val="24"/>
          <w:szCs w:val="24"/>
          <w:shd w:val="clear" w:color="auto" w:fill="FAFCFF"/>
        </w:rPr>
        <w:t>470.47</w:t>
      </w:r>
      <w:r w:rsidR="000D12CC" w:rsidRPr="00225C00">
        <w:rPr>
          <w:rFonts w:ascii="Times New Roman" w:hAnsi="Times New Roman" w:cs="Times New Roman" w:hint="eastAsia"/>
          <w:color w:val="000000"/>
          <w:sz w:val="24"/>
          <w:szCs w:val="24"/>
          <w:shd w:val="clear" w:color="auto" w:fill="FAFCFF"/>
        </w:rPr>
        <w:t>亿元，占绝对优势。第一方阵城市中，苏州和南京市土地收入均超过</w:t>
      </w:r>
      <w:r w:rsidR="000D12CC" w:rsidRPr="00225C00">
        <w:rPr>
          <w:rFonts w:ascii="Times New Roman" w:hAnsi="Times New Roman" w:cs="Times New Roman" w:hint="eastAsia"/>
          <w:color w:val="000000"/>
          <w:sz w:val="24"/>
          <w:szCs w:val="24"/>
          <w:shd w:val="clear" w:color="auto" w:fill="FAFCFF"/>
        </w:rPr>
        <w:t>100</w:t>
      </w:r>
      <w:r w:rsidR="000D12CC" w:rsidRPr="00225C00">
        <w:rPr>
          <w:rFonts w:ascii="Times New Roman" w:hAnsi="Times New Roman" w:cs="Times New Roman" w:hint="eastAsia"/>
          <w:color w:val="000000"/>
          <w:sz w:val="24"/>
          <w:szCs w:val="24"/>
          <w:shd w:val="clear" w:color="auto" w:fill="FAFCFF"/>
        </w:rPr>
        <w:t>亿元，其中苏州市</w:t>
      </w:r>
      <w:r w:rsidR="001D478C">
        <w:rPr>
          <w:rFonts w:ascii="Times New Roman" w:hAnsi="Times New Roman" w:cs="Times New Roman" w:hint="eastAsia"/>
          <w:color w:val="000000"/>
          <w:sz w:val="24"/>
          <w:szCs w:val="24"/>
          <w:shd w:val="clear" w:color="auto" w:fill="FAFCFF"/>
        </w:rPr>
        <w:t>271.65</w:t>
      </w:r>
      <w:r w:rsidR="000D12CC" w:rsidRPr="00225C00">
        <w:rPr>
          <w:rFonts w:ascii="Times New Roman" w:hAnsi="Times New Roman" w:cs="Times New Roman" w:hint="eastAsia"/>
          <w:color w:val="000000"/>
          <w:sz w:val="24"/>
          <w:szCs w:val="24"/>
          <w:shd w:val="clear" w:color="auto" w:fill="FAFCFF"/>
        </w:rPr>
        <w:t>亿元，南京市</w:t>
      </w:r>
      <w:r w:rsidR="001D478C">
        <w:rPr>
          <w:rFonts w:ascii="Times New Roman" w:hAnsi="Times New Roman" w:cs="Times New Roman" w:hint="eastAsia"/>
          <w:color w:val="000000"/>
          <w:sz w:val="24"/>
          <w:szCs w:val="24"/>
          <w:shd w:val="clear" w:color="auto" w:fill="FAFCFF"/>
        </w:rPr>
        <w:t>191.24</w:t>
      </w:r>
      <w:r w:rsidR="000D12CC" w:rsidRPr="00225C00">
        <w:rPr>
          <w:rFonts w:ascii="Times New Roman" w:hAnsi="Times New Roman" w:cs="Times New Roman" w:hint="eastAsia"/>
          <w:color w:val="000000"/>
          <w:sz w:val="24"/>
          <w:szCs w:val="24"/>
          <w:shd w:val="clear" w:color="auto" w:fill="FAFCFF"/>
        </w:rPr>
        <w:t>亿元，第</w:t>
      </w:r>
      <w:r w:rsidR="001D478C">
        <w:rPr>
          <w:rFonts w:ascii="Times New Roman" w:hAnsi="Times New Roman" w:cs="Times New Roman" w:hint="eastAsia"/>
          <w:color w:val="000000"/>
          <w:sz w:val="24"/>
          <w:szCs w:val="24"/>
          <w:shd w:val="clear" w:color="auto" w:fill="FAFCFF"/>
        </w:rPr>
        <w:t>一方阵城市中无锡在房地产市场库存巨大的情况下供地节奏明显放缓，三</w:t>
      </w:r>
      <w:r w:rsidR="000D12CC" w:rsidRPr="00225C00">
        <w:rPr>
          <w:rFonts w:ascii="Times New Roman" w:hAnsi="Times New Roman" w:cs="Times New Roman" w:hint="eastAsia"/>
          <w:color w:val="000000"/>
          <w:sz w:val="24"/>
          <w:szCs w:val="24"/>
          <w:shd w:val="clear" w:color="auto" w:fill="FAFCFF"/>
        </w:rPr>
        <w:t>季度土地收入仅为</w:t>
      </w:r>
      <w:r w:rsidR="001D478C">
        <w:rPr>
          <w:rFonts w:ascii="Times New Roman" w:hAnsi="Times New Roman" w:cs="Times New Roman" w:hint="eastAsia"/>
          <w:color w:val="000000"/>
          <w:sz w:val="24"/>
          <w:szCs w:val="24"/>
          <w:shd w:val="clear" w:color="auto" w:fill="FAFCFF"/>
        </w:rPr>
        <w:t>7.58</w:t>
      </w:r>
      <w:r w:rsidR="000D12CC" w:rsidRPr="00225C00">
        <w:rPr>
          <w:rFonts w:ascii="Times New Roman" w:hAnsi="Times New Roman" w:cs="Times New Roman" w:hint="eastAsia"/>
          <w:color w:val="000000"/>
          <w:sz w:val="24"/>
          <w:szCs w:val="24"/>
          <w:shd w:val="clear" w:color="auto" w:fill="FAFCFF"/>
        </w:rPr>
        <w:t>亿元。第二方阵城市中，常州土地收入</w:t>
      </w:r>
      <w:r w:rsidR="00A834C9">
        <w:rPr>
          <w:rFonts w:ascii="Times New Roman" w:hAnsi="Times New Roman" w:cs="Times New Roman" w:hint="eastAsia"/>
          <w:color w:val="000000"/>
          <w:sz w:val="24"/>
          <w:szCs w:val="24"/>
          <w:shd w:val="clear" w:color="auto" w:fill="FAFCFF"/>
        </w:rPr>
        <w:t>42.79</w:t>
      </w:r>
      <w:r w:rsidR="000D12CC" w:rsidRPr="00225C00">
        <w:rPr>
          <w:rFonts w:ascii="Times New Roman" w:hAnsi="Times New Roman" w:cs="Times New Roman" w:hint="eastAsia"/>
          <w:color w:val="000000"/>
          <w:sz w:val="24"/>
          <w:szCs w:val="24"/>
          <w:shd w:val="clear" w:color="auto" w:fill="FAFCFF"/>
        </w:rPr>
        <w:t>亿元，镇江土地收入</w:t>
      </w:r>
      <w:r w:rsidR="00A834C9">
        <w:rPr>
          <w:rFonts w:ascii="Times New Roman" w:hAnsi="Times New Roman" w:cs="Times New Roman" w:hint="eastAsia"/>
          <w:color w:val="000000"/>
          <w:sz w:val="24"/>
          <w:szCs w:val="24"/>
          <w:shd w:val="clear" w:color="auto" w:fill="FAFCFF"/>
        </w:rPr>
        <w:t>3.71</w:t>
      </w:r>
      <w:r w:rsidR="000D12CC" w:rsidRPr="00225C00">
        <w:rPr>
          <w:rFonts w:ascii="Times New Roman" w:hAnsi="Times New Roman" w:cs="Times New Roman" w:hint="eastAsia"/>
          <w:color w:val="000000"/>
          <w:sz w:val="24"/>
          <w:szCs w:val="24"/>
          <w:shd w:val="clear" w:color="auto" w:fill="FAFCFF"/>
        </w:rPr>
        <w:t>亿元。</w:t>
      </w:r>
    </w:p>
    <w:p w:rsidR="000D12CC" w:rsidRPr="00A834C9" w:rsidRDefault="000D12CC" w:rsidP="00A834C9">
      <w:pPr>
        <w:spacing w:line="360" w:lineRule="auto"/>
        <w:ind w:firstLineChars="200" w:firstLine="480"/>
        <w:rPr>
          <w:rFonts w:ascii="Times New Roman" w:hAnsi="Times New Roman" w:cs="Times New Roman"/>
          <w:color w:val="000000"/>
          <w:sz w:val="24"/>
          <w:szCs w:val="24"/>
          <w:shd w:val="clear" w:color="auto" w:fill="FAFCFF"/>
        </w:rPr>
      </w:pPr>
      <w:r w:rsidRPr="00225C00">
        <w:rPr>
          <w:rFonts w:ascii="Times New Roman" w:hAnsi="Times New Roman" w:cs="Times New Roman" w:hint="eastAsia"/>
          <w:color w:val="000000"/>
          <w:sz w:val="24"/>
          <w:szCs w:val="24"/>
          <w:shd w:val="clear" w:color="auto" w:fill="FAFCFF"/>
        </w:rPr>
        <w:t>从楼面地价来看，第一方阵城市楼面均价明显高于第二方阵。</w:t>
      </w:r>
      <w:r w:rsidR="00A834C9">
        <w:rPr>
          <w:rFonts w:ascii="Times New Roman" w:hAnsi="Times New Roman" w:cs="Times New Roman" w:hint="eastAsia"/>
          <w:color w:val="000000"/>
          <w:sz w:val="24"/>
          <w:szCs w:val="24"/>
          <w:shd w:val="clear" w:color="auto" w:fill="FAFCFF"/>
        </w:rPr>
        <w:t>苏州</w:t>
      </w:r>
      <w:r w:rsidR="00C82B0A" w:rsidRPr="00225C00">
        <w:rPr>
          <w:rFonts w:ascii="Times New Roman" w:hAnsi="Times New Roman" w:cs="Times New Roman" w:hint="eastAsia"/>
          <w:color w:val="000000"/>
          <w:sz w:val="24"/>
          <w:szCs w:val="24"/>
          <w:shd w:val="clear" w:color="auto" w:fill="FAFCFF"/>
        </w:rPr>
        <w:t>市楼面均价位于五市之首，达到</w:t>
      </w:r>
      <w:r w:rsidR="00A834C9" w:rsidRPr="00A834C9">
        <w:rPr>
          <w:rFonts w:ascii="Times New Roman" w:hAnsi="Times New Roman" w:cs="Times New Roman" w:hint="eastAsia"/>
          <w:color w:val="000000"/>
          <w:sz w:val="24"/>
          <w:szCs w:val="24"/>
          <w:shd w:val="clear" w:color="auto" w:fill="FAFCFF"/>
        </w:rPr>
        <w:t>10544.31</w:t>
      </w:r>
      <w:r w:rsidR="00C82B0A" w:rsidRPr="00225C00">
        <w:rPr>
          <w:rFonts w:ascii="Times New Roman" w:hAnsi="Times New Roman" w:cs="Times New Roman" w:hint="eastAsia"/>
          <w:color w:val="000000"/>
          <w:sz w:val="24"/>
          <w:szCs w:val="24"/>
          <w:shd w:val="clear" w:color="auto" w:fill="FAFCFF"/>
        </w:rPr>
        <w:t>元</w:t>
      </w:r>
      <w:r w:rsidR="00C82B0A" w:rsidRPr="00225C00">
        <w:rPr>
          <w:rFonts w:ascii="Times New Roman" w:hAnsi="Times New Roman" w:cs="Times New Roman" w:hint="eastAsia"/>
          <w:color w:val="000000"/>
          <w:sz w:val="24"/>
          <w:szCs w:val="24"/>
          <w:shd w:val="clear" w:color="auto" w:fill="FAFCFF"/>
        </w:rPr>
        <w:t>/</w:t>
      </w:r>
      <w:r w:rsidR="00C82B0A" w:rsidRPr="00225C00">
        <w:rPr>
          <w:rFonts w:ascii="Times New Roman" w:hAnsi="Times New Roman" w:cs="Times New Roman"/>
          <w:sz w:val="24"/>
        </w:rPr>
        <w:t xml:space="preserve"> m</w:t>
      </w:r>
      <w:r w:rsidR="00C82B0A" w:rsidRPr="00225C00">
        <w:rPr>
          <w:rFonts w:ascii="Times New Roman" w:hAnsi="Times New Roman" w:cs="Times New Roman"/>
          <w:sz w:val="24"/>
          <w:vertAlign w:val="superscript"/>
        </w:rPr>
        <w:t>2</w:t>
      </w:r>
      <w:r w:rsidR="00A834C9">
        <w:rPr>
          <w:rFonts w:ascii="Times New Roman" w:hAnsi="Times New Roman" w:cs="Times New Roman" w:hint="eastAsia"/>
          <w:sz w:val="24"/>
        </w:rPr>
        <w:t>；南京</w:t>
      </w:r>
      <w:r w:rsidR="00C82B0A" w:rsidRPr="00225C00">
        <w:rPr>
          <w:rFonts w:ascii="Times New Roman" w:hAnsi="Times New Roman" w:cs="Times New Roman" w:hint="eastAsia"/>
          <w:sz w:val="24"/>
        </w:rPr>
        <w:t>楼面均价紧随其后，为</w:t>
      </w:r>
      <w:r w:rsidR="00A834C9" w:rsidRPr="00A834C9">
        <w:rPr>
          <w:rFonts w:ascii="Times New Roman" w:hAnsi="Times New Roman" w:cs="Times New Roman"/>
          <w:color w:val="000000"/>
          <w:sz w:val="24"/>
          <w:szCs w:val="24"/>
          <w:shd w:val="clear" w:color="auto" w:fill="FAFCFF"/>
        </w:rPr>
        <w:t>7480.99</w:t>
      </w:r>
      <w:r w:rsidR="00C82B0A" w:rsidRPr="00225C00">
        <w:rPr>
          <w:rFonts w:ascii="Times New Roman" w:hAnsi="Times New Roman" w:cs="Times New Roman" w:hint="eastAsia"/>
          <w:color w:val="000000"/>
          <w:sz w:val="24"/>
          <w:szCs w:val="24"/>
          <w:shd w:val="clear" w:color="auto" w:fill="FAFCFF"/>
        </w:rPr>
        <w:t>元</w:t>
      </w:r>
      <w:r w:rsidR="00C82B0A" w:rsidRPr="00225C00">
        <w:rPr>
          <w:rFonts w:ascii="Times New Roman" w:hAnsi="Times New Roman" w:cs="Times New Roman" w:hint="eastAsia"/>
          <w:color w:val="000000"/>
          <w:sz w:val="24"/>
          <w:szCs w:val="24"/>
          <w:shd w:val="clear" w:color="auto" w:fill="FAFCFF"/>
        </w:rPr>
        <w:t>/</w:t>
      </w:r>
      <w:r w:rsidR="00C82B0A" w:rsidRPr="00225C00">
        <w:rPr>
          <w:rFonts w:ascii="Times New Roman" w:hAnsi="Times New Roman" w:cs="Times New Roman"/>
          <w:sz w:val="24"/>
        </w:rPr>
        <w:t xml:space="preserve"> m</w:t>
      </w:r>
      <w:r w:rsidR="00C82B0A" w:rsidRPr="00225C00">
        <w:rPr>
          <w:rFonts w:ascii="Times New Roman" w:hAnsi="Times New Roman" w:cs="Times New Roman"/>
          <w:sz w:val="24"/>
          <w:vertAlign w:val="superscript"/>
        </w:rPr>
        <w:t>2</w:t>
      </w:r>
      <w:r w:rsidR="00A834C9">
        <w:rPr>
          <w:rFonts w:ascii="Times New Roman" w:hAnsi="Times New Roman" w:cs="Times New Roman" w:hint="eastAsia"/>
          <w:sz w:val="24"/>
        </w:rPr>
        <w:t>；无锡市作为第一方阵城市，近几年其土地市场发展明显掉队，三</w:t>
      </w:r>
      <w:r w:rsidR="00C82B0A" w:rsidRPr="00225C00">
        <w:rPr>
          <w:rFonts w:ascii="Times New Roman" w:hAnsi="Times New Roman" w:cs="Times New Roman" w:hint="eastAsia"/>
          <w:sz w:val="24"/>
        </w:rPr>
        <w:t>季度楼面均价仅为</w:t>
      </w:r>
      <w:r w:rsidR="00A834C9">
        <w:rPr>
          <w:rFonts w:ascii="Times New Roman" w:hAnsi="Times New Roman" w:cs="Times New Roman" w:hint="eastAsia"/>
          <w:sz w:val="24"/>
        </w:rPr>
        <w:t>2323.75</w:t>
      </w:r>
      <w:r w:rsidR="00C82B0A" w:rsidRPr="00225C00">
        <w:rPr>
          <w:rFonts w:ascii="Times New Roman" w:hAnsi="Times New Roman" w:cs="Times New Roman" w:hint="eastAsia"/>
          <w:color w:val="000000"/>
          <w:sz w:val="24"/>
          <w:szCs w:val="24"/>
          <w:shd w:val="clear" w:color="auto" w:fill="FAFCFF"/>
        </w:rPr>
        <w:t>元</w:t>
      </w:r>
      <w:r w:rsidR="00C82B0A" w:rsidRPr="00225C00">
        <w:rPr>
          <w:rFonts w:ascii="Times New Roman" w:hAnsi="Times New Roman" w:cs="Times New Roman" w:hint="eastAsia"/>
          <w:color w:val="000000"/>
          <w:sz w:val="24"/>
          <w:szCs w:val="24"/>
          <w:shd w:val="clear" w:color="auto" w:fill="FAFCFF"/>
        </w:rPr>
        <w:t>/</w:t>
      </w:r>
      <w:r w:rsidR="00C82B0A" w:rsidRPr="00225C00">
        <w:rPr>
          <w:rFonts w:ascii="Times New Roman" w:hAnsi="Times New Roman" w:cs="Times New Roman"/>
          <w:sz w:val="24"/>
        </w:rPr>
        <w:t xml:space="preserve"> m</w:t>
      </w:r>
      <w:r w:rsidR="00C82B0A" w:rsidRPr="00225C00">
        <w:rPr>
          <w:rFonts w:ascii="Times New Roman" w:hAnsi="Times New Roman" w:cs="Times New Roman"/>
          <w:sz w:val="24"/>
          <w:vertAlign w:val="superscript"/>
        </w:rPr>
        <w:t>2</w:t>
      </w:r>
      <w:r w:rsidR="00C82B0A" w:rsidRPr="00225C00">
        <w:rPr>
          <w:rFonts w:ascii="Times New Roman" w:hAnsi="Times New Roman" w:cs="Times New Roman" w:hint="eastAsia"/>
          <w:sz w:val="24"/>
        </w:rPr>
        <w:t>；</w:t>
      </w:r>
      <w:r w:rsidR="00115B9A" w:rsidRPr="00225C00">
        <w:rPr>
          <w:rFonts w:ascii="Times New Roman" w:hAnsi="Times New Roman" w:cs="Times New Roman" w:hint="eastAsia"/>
          <w:sz w:val="24"/>
        </w:rPr>
        <w:t>第二方阵城市中常州市楼面均价为</w:t>
      </w:r>
      <w:r w:rsidR="00A834C9">
        <w:rPr>
          <w:rFonts w:ascii="Times New Roman" w:hAnsi="Times New Roman" w:cs="Times New Roman" w:hint="eastAsia"/>
          <w:sz w:val="24"/>
        </w:rPr>
        <w:t>2399.86</w:t>
      </w:r>
      <w:r w:rsidR="00115B9A" w:rsidRPr="00225C00">
        <w:rPr>
          <w:rFonts w:ascii="Times New Roman" w:hAnsi="Times New Roman" w:cs="Times New Roman" w:hint="eastAsia"/>
          <w:color w:val="000000"/>
          <w:sz w:val="24"/>
          <w:szCs w:val="24"/>
          <w:shd w:val="clear" w:color="auto" w:fill="FAFCFF"/>
        </w:rPr>
        <w:t>元</w:t>
      </w:r>
      <w:r w:rsidR="00115B9A" w:rsidRPr="00225C00">
        <w:rPr>
          <w:rFonts w:ascii="Times New Roman" w:hAnsi="Times New Roman" w:cs="Times New Roman" w:hint="eastAsia"/>
          <w:color w:val="000000"/>
          <w:sz w:val="24"/>
          <w:szCs w:val="24"/>
          <w:shd w:val="clear" w:color="auto" w:fill="FAFCFF"/>
        </w:rPr>
        <w:t>/</w:t>
      </w:r>
      <w:r w:rsidR="00115B9A" w:rsidRPr="00225C00">
        <w:rPr>
          <w:rFonts w:ascii="Times New Roman" w:hAnsi="Times New Roman" w:cs="Times New Roman"/>
          <w:sz w:val="24"/>
        </w:rPr>
        <w:t xml:space="preserve"> m</w:t>
      </w:r>
      <w:r w:rsidR="00115B9A" w:rsidRPr="00225C00">
        <w:rPr>
          <w:rFonts w:ascii="Times New Roman" w:hAnsi="Times New Roman" w:cs="Times New Roman"/>
          <w:sz w:val="24"/>
          <w:vertAlign w:val="superscript"/>
        </w:rPr>
        <w:t>2</w:t>
      </w:r>
      <w:r w:rsidR="00A834C9">
        <w:rPr>
          <w:rFonts w:ascii="Times New Roman" w:hAnsi="Times New Roman" w:cs="Times New Roman" w:hint="eastAsia"/>
          <w:sz w:val="24"/>
        </w:rPr>
        <w:t>，受供地区位、用途的影响与二季度相比有稍微上升；镇江市楼面均价</w:t>
      </w:r>
      <w:r w:rsidR="00115B9A" w:rsidRPr="00225C00">
        <w:rPr>
          <w:rFonts w:ascii="Times New Roman" w:hAnsi="Times New Roman" w:cs="Times New Roman" w:hint="eastAsia"/>
          <w:sz w:val="24"/>
        </w:rPr>
        <w:t>为</w:t>
      </w:r>
      <w:r w:rsidR="00A834C9">
        <w:rPr>
          <w:rFonts w:ascii="Times New Roman" w:hAnsi="Times New Roman" w:cs="Times New Roman" w:hint="eastAsia"/>
          <w:sz w:val="24"/>
        </w:rPr>
        <w:t>2205.73</w:t>
      </w:r>
      <w:r w:rsidR="00115B9A" w:rsidRPr="00225C00">
        <w:rPr>
          <w:rFonts w:ascii="Times New Roman" w:hAnsi="Times New Roman" w:cs="Times New Roman" w:hint="eastAsia"/>
          <w:sz w:val="24"/>
        </w:rPr>
        <w:t>元</w:t>
      </w:r>
      <w:r w:rsidR="00115B9A" w:rsidRPr="00225C00">
        <w:rPr>
          <w:rFonts w:ascii="Times New Roman" w:hAnsi="Times New Roman" w:cs="Times New Roman" w:hint="eastAsia"/>
          <w:color w:val="000000"/>
          <w:sz w:val="24"/>
          <w:szCs w:val="24"/>
          <w:shd w:val="clear" w:color="auto" w:fill="FAFCFF"/>
        </w:rPr>
        <w:t>/</w:t>
      </w:r>
      <w:r w:rsidR="00115B9A" w:rsidRPr="00225C00">
        <w:rPr>
          <w:rFonts w:ascii="Times New Roman" w:hAnsi="Times New Roman" w:cs="Times New Roman"/>
          <w:sz w:val="24"/>
        </w:rPr>
        <w:t xml:space="preserve"> m</w:t>
      </w:r>
      <w:r w:rsidR="00115B9A" w:rsidRPr="00225C00">
        <w:rPr>
          <w:rFonts w:ascii="Times New Roman" w:hAnsi="Times New Roman" w:cs="Times New Roman"/>
          <w:sz w:val="24"/>
          <w:vertAlign w:val="superscript"/>
        </w:rPr>
        <w:t>2</w:t>
      </w:r>
      <w:r w:rsidR="00A834C9">
        <w:rPr>
          <w:rFonts w:ascii="Times New Roman" w:hAnsi="Times New Roman" w:cs="Times New Roman" w:hint="eastAsia"/>
          <w:sz w:val="24"/>
        </w:rPr>
        <w:t>，</w:t>
      </w:r>
      <w:r w:rsidR="00C45E9A" w:rsidRPr="00225C00">
        <w:rPr>
          <w:rFonts w:ascii="Times New Roman" w:hAnsi="Times New Roman" w:cs="Times New Roman" w:hint="eastAsia"/>
          <w:sz w:val="24"/>
        </w:rPr>
        <w:t>苏南五市</w:t>
      </w:r>
      <w:r w:rsidR="00C45E9A" w:rsidRPr="00225C00">
        <w:rPr>
          <w:rFonts w:ascii="Times New Roman" w:hAnsi="Times New Roman" w:cs="Times New Roman" w:hint="eastAsia"/>
          <w:sz w:val="24"/>
        </w:rPr>
        <w:t>2014</w:t>
      </w:r>
      <w:r w:rsidR="00C45E9A" w:rsidRPr="00225C00">
        <w:rPr>
          <w:rFonts w:ascii="Times New Roman" w:hAnsi="Times New Roman" w:cs="Times New Roman" w:hint="eastAsia"/>
          <w:sz w:val="24"/>
        </w:rPr>
        <w:t>年一季度至</w:t>
      </w:r>
      <w:r w:rsidR="00C45E9A" w:rsidRPr="00225C00">
        <w:rPr>
          <w:rFonts w:ascii="Times New Roman" w:hAnsi="Times New Roman" w:cs="Times New Roman" w:hint="eastAsia"/>
          <w:sz w:val="24"/>
        </w:rPr>
        <w:t>2015</w:t>
      </w:r>
      <w:r w:rsidR="00A834C9">
        <w:rPr>
          <w:rFonts w:ascii="Times New Roman" w:hAnsi="Times New Roman" w:cs="Times New Roman" w:hint="eastAsia"/>
          <w:sz w:val="24"/>
        </w:rPr>
        <w:t>年三</w:t>
      </w:r>
      <w:r w:rsidR="00C45E9A" w:rsidRPr="00225C00">
        <w:rPr>
          <w:rFonts w:ascii="Times New Roman" w:hAnsi="Times New Roman" w:cs="Times New Roman" w:hint="eastAsia"/>
          <w:sz w:val="24"/>
        </w:rPr>
        <w:t>季度楼面均价走势如图</w:t>
      </w:r>
      <w:r w:rsidR="00C45E9A" w:rsidRPr="00225C00">
        <w:rPr>
          <w:rFonts w:ascii="Times New Roman" w:hAnsi="Times New Roman" w:cs="Times New Roman" w:hint="eastAsia"/>
          <w:sz w:val="24"/>
        </w:rPr>
        <w:t>3</w:t>
      </w:r>
      <w:r w:rsidR="00C45E9A" w:rsidRPr="00225C00">
        <w:rPr>
          <w:rFonts w:ascii="Times New Roman" w:hAnsi="Times New Roman" w:cs="Times New Roman" w:hint="eastAsia"/>
          <w:sz w:val="24"/>
        </w:rPr>
        <w:t>所示：</w:t>
      </w:r>
    </w:p>
    <w:p w:rsidR="00285D0D" w:rsidRDefault="00285D0D" w:rsidP="00285D0D">
      <w:pPr>
        <w:ind w:firstLineChars="200" w:firstLine="420"/>
        <w:jc w:val="center"/>
        <w:rPr>
          <w:rFonts w:ascii="Times New Roman" w:hAnsi="Times New Roman" w:cs="Times New Roman"/>
          <w:sz w:val="15"/>
          <w:szCs w:val="15"/>
        </w:rPr>
      </w:pPr>
      <w:r>
        <w:rPr>
          <w:noProof/>
        </w:rPr>
        <w:drawing>
          <wp:inline distT="0" distB="0" distL="0" distR="0" wp14:anchorId="7E3CA873" wp14:editId="78174387">
            <wp:extent cx="4572000" cy="2743200"/>
            <wp:effectExtent l="0" t="0" r="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06039" w:rsidRPr="00451929" w:rsidRDefault="00285D0D" w:rsidP="00285D0D">
      <w:pPr>
        <w:ind w:firstLineChars="200" w:firstLine="300"/>
        <w:jc w:val="center"/>
        <w:rPr>
          <w:rFonts w:ascii="Times New Roman" w:hAnsi="Times New Roman" w:cs="Times New Roman"/>
          <w:noProof/>
        </w:rPr>
      </w:pPr>
      <w:r>
        <w:rPr>
          <w:rFonts w:ascii="Times New Roman" w:hAnsi="Times New Roman" w:cs="Times New Roman" w:hint="eastAsia"/>
          <w:sz w:val="15"/>
          <w:szCs w:val="15"/>
        </w:rPr>
        <w:t xml:space="preserve">                                                                                </w:t>
      </w:r>
      <w:r w:rsidRPr="00451929">
        <w:rPr>
          <w:rFonts w:ascii="Times New Roman" w:hAnsi="Times New Roman" w:cs="Times New Roman"/>
          <w:sz w:val="15"/>
          <w:szCs w:val="15"/>
        </w:rPr>
        <w:t>来源：智地</w:t>
      </w:r>
      <w:r w:rsidRPr="00285D0D">
        <w:rPr>
          <w:rFonts w:ascii="Times New Roman" w:hAnsi="Times New Roman" w:cs="Times New Roman"/>
          <w:sz w:val="15"/>
          <w:szCs w:val="15"/>
        </w:rPr>
        <w:t>数据</w:t>
      </w:r>
    </w:p>
    <w:p w:rsidR="00106039" w:rsidRPr="00985A17" w:rsidRDefault="00106039" w:rsidP="008A49B1">
      <w:pPr>
        <w:spacing w:line="360" w:lineRule="auto"/>
        <w:jc w:val="center"/>
        <w:rPr>
          <w:rFonts w:ascii="Times New Roman" w:hAnsi="Times New Roman" w:cs="Times New Roman"/>
          <w:b/>
          <w:szCs w:val="21"/>
        </w:rPr>
      </w:pPr>
      <w:r w:rsidRPr="00985A17">
        <w:rPr>
          <w:rFonts w:ascii="Times New Roman" w:hAnsi="Times New Roman" w:cs="Times New Roman"/>
          <w:b/>
          <w:szCs w:val="21"/>
        </w:rPr>
        <w:t>图</w:t>
      </w:r>
      <w:r w:rsidRPr="00985A17">
        <w:rPr>
          <w:rFonts w:ascii="Times New Roman" w:hAnsi="Times New Roman" w:cs="Times New Roman" w:hint="eastAsia"/>
          <w:b/>
          <w:szCs w:val="21"/>
        </w:rPr>
        <w:t>3</w:t>
      </w:r>
      <w:r w:rsidRPr="00985A17">
        <w:rPr>
          <w:rFonts w:ascii="Times New Roman" w:hAnsi="Times New Roman" w:cs="Times New Roman"/>
          <w:b/>
          <w:szCs w:val="21"/>
        </w:rPr>
        <w:t xml:space="preserve"> </w:t>
      </w:r>
      <w:r w:rsidRPr="00985A17">
        <w:rPr>
          <w:rFonts w:ascii="Times New Roman" w:hAnsi="Times New Roman" w:cs="Times New Roman"/>
          <w:b/>
          <w:szCs w:val="21"/>
        </w:rPr>
        <w:t>苏南五市</w:t>
      </w:r>
      <w:r w:rsidRPr="00985A17">
        <w:rPr>
          <w:rFonts w:ascii="Times New Roman" w:hAnsi="Times New Roman" w:cs="Times New Roman"/>
          <w:b/>
          <w:szCs w:val="21"/>
        </w:rPr>
        <w:t>2014</w:t>
      </w:r>
      <w:r w:rsidRPr="00985A17">
        <w:rPr>
          <w:rFonts w:ascii="Times New Roman" w:hAnsi="Times New Roman" w:cs="Times New Roman"/>
          <w:b/>
          <w:szCs w:val="21"/>
        </w:rPr>
        <w:t>年一季度至</w:t>
      </w:r>
      <w:r w:rsidRPr="00985A17">
        <w:rPr>
          <w:rFonts w:ascii="Times New Roman" w:hAnsi="Times New Roman" w:cs="Times New Roman"/>
          <w:b/>
          <w:szCs w:val="21"/>
        </w:rPr>
        <w:t>2015</w:t>
      </w:r>
      <w:r w:rsidRPr="00985A17">
        <w:rPr>
          <w:rFonts w:ascii="Times New Roman" w:hAnsi="Times New Roman" w:cs="Times New Roman"/>
          <w:b/>
          <w:szCs w:val="21"/>
        </w:rPr>
        <w:t>年</w:t>
      </w:r>
      <w:r w:rsidRPr="00985A17">
        <w:rPr>
          <w:rFonts w:ascii="Times New Roman" w:hAnsi="Times New Roman" w:cs="Times New Roman" w:hint="eastAsia"/>
          <w:b/>
          <w:szCs w:val="21"/>
        </w:rPr>
        <w:t>二</w:t>
      </w:r>
      <w:r w:rsidRPr="00985A17">
        <w:rPr>
          <w:rFonts w:ascii="Times New Roman" w:hAnsi="Times New Roman" w:cs="Times New Roman"/>
          <w:b/>
          <w:szCs w:val="21"/>
        </w:rPr>
        <w:t>季度楼面均价走势</w:t>
      </w:r>
    </w:p>
    <w:p w:rsidR="008A49B1" w:rsidRDefault="008A49B1" w:rsidP="008A49B1">
      <w:pPr>
        <w:spacing w:line="360" w:lineRule="auto"/>
        <w:ind w:firstLineChars="200" w:firstLine="480"/>
        <w:jc w:val="left"/>
        <w:rPr>
          <w:rFonts w:ascii="Times New Roman" w:hAnsi="Times New Roman" w:cs="Times New Roman"/>
          <w:color w:val="000000"/>
          <w:sz w:val="24"/>
          <w:szCs w:val="24"/>
          <w:shd w:val="clear" w:color="auto" w:fill="FAFCFF"/>
        </w:rPr>
      </w:pPr>
      <w:r>
        <w:rPr>
          <w:rFonts w:ascii="Times New Roman" w:hAnsi="Times New Roman" w:cs="Times New Roman" w:hint="eastAsia"/>
          <w:color w:val="000000"/>
          <w:sz w:val="24"/>
          <w:szCs w:val="24"/>
          <w:shd w:val="clear" w:color="auto" w:fill="FAFCFF"/>
        </w:rPr>
        <w:t>2015</w:t>
      </w:r>
      <w:r w:rsidR="00285D0D">
        <w:rPr>
          <w:rFonts w:ascii="Times New Roman" w:hAnsi="Times New Roman" w:cs="Times New Roman" w:hint="eastAsia"/>
          <w:color w:val="000000"/>
          <w:sz w:val="24"/>
          <w:szCs w:val="24"/>
          <w:shd w:val="clear" w:color="auto" w:fill="FAFCFF"/>
        </w:rPr>
        <w:t>年三</w:t>
      </w:r>
      <w:r>
        <w:rPr>
          <w:rFonts w:ascii="Times New Roman" w:hAnsi="Times New Roman" w:cs="Times New Roman" w:hint="eastAsia"/>
          <w:color w:val="000000"/>
          <w:sz w:val="24"/>
          <w:szCs w:val="24"/>
          <w:shd w:val="clear" w:color="auto" w:fill="FAFCFF"/>
        </w:rPr>
        <w:t>季度，随着政策环境趋于宽松，市场逐渐回暖，土地竞争</w:t>
      </w:r>
      <w:r w:rsidR="00A764B2">
        <w:rPr>
          <w:rFonts w:ascii="Times New Roman" w:hAnsi="Times New Roman" w:cs="Times New Roman" w:hint="eastAsia"/>
          <w:color w:val="000000"/>
          <w:sz w:val="24"/>
          <w:szCs w:val="24"/>
          <w:shd w:val="clear" w:color="auto" w:fill="FAFCFF"/>
        </w:rPr>
        <w:t>的</w:t>
      </w:r>
      <w:r>
        <w:rPr>
          <w:rFonts w:ascii="Times New Roman" w:hAnsi="Times New Roman" w:cs="Times New Roman" w:hint="eastAsia"/>
          <w:color w:val="000000"/>
          <w:sz w:val="24"/>
          <w:szCs w:val="24"/>
          <w:shd w:val="clear" w:color="auto" w:fill="FAFCFF"/>
        </w:rPr>
        <w:t>激烈</w:t>
      </w:r>
      <w:r w:rsidR="00A764B2">
        <w:rPr>
          <w:rFonts w:ascii="Times New Roman" w:hAnsi="Times New Roman" w:cs="Times New Roman" w:hint="eastAsia"/>
          <w:color w:val="000000"/>
          <w:sz w:val="24"/>
          <w:szCs w:val="24"/>
          <w:shd w:val="clear" w:color="auto" w:fill="FAFCFF"/>
        </w:rPr>
        <w:t>程度逐渐加剧</w:t>
      </w:r>
      <w:r>
        <w:rPr>
          <w:rFonts w:ascii="Times New Roman" w:hAnsi="Times New Roman" w:cs="Times New Roman" w:hint="eastAsia"/>
          <w:color w:val="000000"/>
          <w:sz w:val="24"/>
          <w:szCs w:val="24"/>
          <w:shd w:val="clear" w:color="auto" w:fill="FAFCFF"/>
        </w:rPr>
        <w:t>。</w:t>
      </w:r>
      <w:r w:rsidR="00151D47">
        <w:rPr>
          <w:rFonts w:ascii="Times New Roman" w:hAnsi="Times New Roman" w:cs="Times New Roman" w:hint="eastAsia"/>
          <w:color w:val="000000"/>
          <w:sz w:val="24"/>
          <w:szCs w:val="24"/>
          <w:shd w:val="clear" w:color="auto" w:fill="FAFCFF"/>
        </w:rPr>
        <w:t>三</w:t>
      </w:r>
      <w:r w:rsidR="00A764B2">
        <w:rPr>
          <w:rFonts w:ascii="Times New Roman" w:hAnsi="Times New Roman" w:cs="Times New Roman" w:hint="eastAsia"/>
          <w:color w:val="000000"/>
          <w:sz w:val="24"/>
          <w:szCs w:val="24"/>
          <w:shd w:val="clear" w:color="auto" w:fill="FAFCFF"/>
        </w:rPr>
        <w:t>季度成交土地中，</w:t>
      </w:r>
      <w:r w:rsidR="00BF26EE">
        <w:rPr>
          <w:rFonts w:ascii="Times New Roman" w:hAnsi="Times New Roman" w:cs="Times New Roman" w:hint="eastAsia"/>
          <w:color w:val="000000"/>
          <w:sz w:val="24"/>
          <w:szCs w:val="24"/>
          <w:shd w:val="clear" w:color="auto" w:fill="FAFCFF"/>
        </w:rPr>
        <w:t>溢价地块达到</w:t>
      </w:r>
      <w:r w:rsidR="00BF26EE">
        <w:rPr>
          <w:rFonts w:ascii="Times New Roman" w:hAnsi="Times New Roman" w:cs="Times New Roman" w:hint="eastAsia"/>
          <w:color w:val="000000"/>
          <w:sz w:val="24"/>
          <w:szCs w:val="24"/>
          <w:shd w:val="clear" w:color="auto" w:fill="FAFCFF"/>
        </w:rPr>
        <w:t>25</w:t>
      </w:r>
      <w:r w:rsidR="00BF26EE">
        <w:rPr>
          <w:rFonts w:ascii="Times New Roman" w:hAnsi="Times New Roman" w:cs="Times New Roman" w:hint="eastAsia"/>
          <w:color w:val="000000"/>
          <w:sz w:val="24"/>
          <w:szCs w:val="24"/>
          <w:shd w:val="clear" w:color="auto" w:fill="FAFCFF"/>
        </w:rPr>
        <w:t>宗，溢价地块占比达到</w:t>
      </w:r>
      <w:r w:rsidR="00285D0D">
        <w:rPr>
          <w:rFonts w:ascii="Times New Roman" w:hAnsi="Times New Roman" w:cs="Times New Roman" w:hint="eastAsia"/>
          <w:color w:val="000000"/>
          <w:sz w:val="24"/>
          <w:szCs w:val="24"/>
          <w:shd w:val="clear" w:color="auto" w:fill="FAFCFF"/>
        </w:rPr>
        <w:t>41.46</w:t>
      </w:r>
      <w:r w:rsidR="00BF26EE">
        <w:rPr>
          <w:rFonts w:ascii="Times New Roman" w:hAnsi="Times New Roman" w:cs="Times New Roman" w:hint="eastAsia"/>
          <w:color w:val="000000"/>
          <w:sz w:val="24"/>
          <w:szCs w:val="24"/>
          <w:shd w:val="clear" w:color="auto" w:fill="FAFCFF"/>
        </w:rPr>
        <w:t>%</w:t>
      </w:r>
      <w:r w:rsidR="00BF26EE">
        <w:rPr>
          <w:rFonts w:ascii="Times New Roman" w:hAnsi="Times New Roman" w:cs="Times New Roman" w:hint="eastAsia"/>
          <w:color w:val="000000"/>
          <w:sz w:val="24"/>
          <w:szCs w:val="24"/>
          <w:shd w:val="clear" w:color="auto" w:fill="FAFCFF"/>
        </w:rPr>
        <w:t>。</w:t>
      </w:r>
      <w:r w:rsidR="00151D47">
        <w:rPr>
          <w:rFonts w:ascii="Times New Roman" w:hAnsi="Times New Roman" w:cs="Times New Roman" w:hint="eastAsia"/>
          <w:color w:val="000000"/>
          <w:sz w:val="24"/>
          <w:szCs w:val="24"/>
          <w:shd w:val="clear" w:color="auto" w:fill="FAFCFF"/>
        </w:rPr>
        <w:t>苏南五市中</w:t>
      </w:r>
      <w:r w:rsidR="00285D0D">
        <w:rPr>
          <w:rFonts w:ascii="Times New Roman" w:hAnsi="Times New Roman" w:cs="Times New Roman" w:hint="eastAsia"/>
          <w:color w:val="000000"/>
          <w:sz w:val="24"/>
          <w:szCs w:val="24"/>
          <w:shd w:val="clear" w:color="auto" w:fill="FAFCFF"/>
        </w:rPr>
        <w:t>无锡市和</w:t>
      </w:r>
      <w:r w:rsidR="0027391B">
        <w:rPr>
          <w:rFonts w:ascii="Times New Roman" w:hAnsi="Times New Roman" w:cs="Times New Roman" w:hint="eastAsia"/>
          <w:color w:val="000000"/>
          <w:sz w:val="24"/>
          <w:szCs w:val="24"/>
          <w:shd w:val="clear" w:color="auto" w:fill="FAFCFF"/>
        </w:rPr>
        <w:t>镇江市未出现溢价地块，其中</w:t>
      </w:r>
      <w:r w:rsidR="00285D0D">
        <w:rPr>
          <w:rFonts w:ascii="Times New Roman" w:hAnsi="Times New Roman" w:cs="Times New Roman" w:hint="eastAsia"/>
          <w:color w:val="000000"/>
          <w:sz w:val="24"/>
          <w:szCs w:val="24"/>
          <w:shd w:val="clear" w:color="auto" w:fill="FAFCFF"/>
        </w:rPr>
        <w:t>南京</w:t>
      </w:r>
      <w:r w:rsidR="0027391B">
        <w:rPr>
          <w:rFonts w:ascii="Times New Roman" w:hAnsi="Times New Roman" w:cs="Times New Roman" w:hint="eastAsia"/>
          <w:color w:val="000000"/>
          <w:sz w:val="24"/>
          <w:szCs w:val="24"/>
          <w:shd w:val="clear" w:color="auto" w:fill="FAFCFF"/>
        </w:rPr>
        <w:t>市以</w:t>
      </w:r>
      <w:r w:rsidR="00285D0D">
        <w:rPr>
          <w:rFonts w:ascii="Times New Roman" w:hAnsi="Times New Roman" w:cs="Times New Roman" w:hint="eastAsia"/>
          <w:color w:val="000000"/>
          <w:sz w:val="24"/>
          <w:szCs w:val="24"/>
          <w:shd w:val="clear" w:color="auto" w:fill="FAFCFF"/>
        </w:rPr>
        <w:t>13</w:t>
      </w:r>
      <w:r w:rsidR="0027391B">
        <w:rPr>
          <w:rFonts w:ascii="Times New Roman" w:hAnsi="Times New Roman" w:cs="Times New Roman" w:hint="eastAsia"/>
          <w:color w:val="000000"/>
          <w:sz w:val="24"/>
          <w:szCs w:val="24"/>
          <w:shd w:val="clear" w:color="auto" w:fill="FAFCFF"/>
        </w:rPr>
        <w:t>宗溢价地块排在五市之首，溢价地块占比达</w:t>
      </w:r>
      <w:r w:rsidR="00285D0D">
        <w:rPr>
          <w:rFonts w:ascii="Times New Roman" w:hAnsi="Times New Roman" w:cs="Times New Roman" w:hint="eastAsia"/>
          <w:color w:val="000000"/>
          <w:sz w:val="24"/>
          <w:szCs w:val="24"/>
          <w:shd w:val="clear" w:color="auto" w:fill="FAFCFF"/>
        </w:rPr>
        <w:t>61.9</w:t>
      </w:r>
      <w:r w:rsidR="0027391B">
        <w:rPr>
          <w:rFonts w:ascii="Times New Roman" w:hAnsi="Times New Roman" w:cs="Times New Roman" w:hint="eastAsia"/>
          <w:color w:val="000000"/>
          <w:sz w:val="24"/>
          <w:szCs w:val="24"/>
          <w:shd w:val="clear" w:color="auto" w:fill="FAFCFF"/>
        </w:rPr>
        <w:t>%</w:t>
      </w:r>
      <w:r w:rsidR="0027391B">
        <w:rPr>
          <w:rFonts w:ascii="Times New Roman" w:hAnsi="Times New Roman" w:cs="Times New Roman" w:hint="eastAsia"/>
          <w:color w:val="000000"/>
          <w:sz w:val="24"/>
          <w:szCs w:val="24"/>
          <w:shd w:val="clear" w:color="auto" w:fill="FAFCFF"/>
        </w:rPr>
        <w:t>；</w:t>
      </w:r>
      <w:r w:rsidR="00285D0D">
        <w:rPr>
          <w:rFonts w:ascii="Times New Roman" w:hAnsi="Times New Roman" w:cs="Times New Roman" w:hint="eastAsia"/>
          <w:color w:val="000000"/>
          <w:sz w:val="24"/>
          <w:szCs w:val="24"/>
          <w:shd w:val="clear" w:color="auto" w:fill="FAFCFF"/>
        </w:rPr>
        <w:t>苏州</w:t>
      </w:r>
      <w:r w:rsidR="0027391B">
        <w:rPr>
          <w:rFonts w:ascii="Times New Roman" w:hAnsi="Times New Roman" w:cs="Times New Roman" w:hint="eastAsia"/>
          <w:color w:val="000000"/>
          <w:sz w:val="24"/>
          <w:szCs w:val="24"/>
          <w:shd w:val="clear" w:color="auto" w:fill="FAFCFF"/>
        </w:rPr>
        <w:t>市溢价地块</w:t>
      </w:r>
      <w:r w:rsidR="00285D0D">
        <w:rPr>
          <w:rFonts w:ascii="Times New Roman" w:hAnsi="Times New Roman" w:cs="Times New Roman" w:hint="eastAsia"/>
          <w:color w:val="000000"/>
          <w:sz w:val="24"/>
          <w:szCs w:val="24"/>
          <w:shd w:val="clear" w:color="auto" w:fill="FAFCFF"/>
        </w:rPr>
        <w:t>11</w:t>
      </w:r>
      <w:r w:rsidR="0027391B">
        <w:rPr>
          <w:rFonts w:ascii="Times New Roman" w:hAnsi="Times New Roman" w:cs="Times New Roman" w:hint="eastAsia"/>
          <w:color w:val="000000"/>
          <w:sz w:val="24"/>
          <w:szCs w:val="24"/>
          <w:shd w:val="clear" w:color="auto" w:fill="FAFCFF"/>
        </w:rPr>
        <w:t>宗，溢价地块占比</w:t>
      </w:r>
      <w:r w:rsidR="00285D0D">
        <w:rPr>
          <w:rFonts w:ascii="Times New Roman" w:hAnsi="Times New Roman" w:cs="Times New Roman" w:hint="eastAsia"/>
          <w:color w:val="000000"/>
          <w:sz w:val="24"/>
          <w:szCs w:val="24"/>
          <w:shd w:val="clear" w:color="auto" w:fill="FAFCFF"/>
        </w:rPr>
        <w:t>36.67</w:t>
      </w:r>
      <w:r w:rsidR="0027391B">
        <w:rPr>
          <w:rFonts w:ascii="Times New Roman" w:hAnsi="Times New Roman" w:cs="Times New Roman" w:hint="eastAsia"/>
          <w:color w:val="000000"/>
          <w:sz w:val="24"/>
          <w:szCs w:val="24"/>
          <w:shd w:val="clear" w:color="auto" w:fill="FAFCFF"/>
        </w:rPr>
        <w:t>%</w:t>
      </w:r>
      <w:r w:rsidR="0027391B">
        <w:rPr>
          <w:rFonts w:ascii="Times New Roman" w:hAnsi="Times New Roman" w:cs="Times New Roman" w:hint="eastAsia"/>
          <w:color w:val="000000"/>
          <w:sz w:val="24"/>
          <w:szCs w:val="24"/>
          <w:shd w:val="clear" w:color="auto" w:fill="FAFCFF"/>
        </w:rPr>
        <w:t>；</w:t>
      </w:r>
      <w:r w:rsidR="00285D0D">
        <w:rPr>
          <w:rFonts w:ascii="Times New Roman" w:hAnsi="Times New Roman" w:cs="Times New Roman" w:hint="eastAsia"/>
          <w:color w:val="000000"/>
          <w:sz w:val="24"/>
          <w:szCs w:val="24"/>
          <w:shd w:val="clear" w:color="auto" w:fill="FAFCFF"/>
        </w:rPr>
        <w:t>常州溢价地块</w:t>
      </w:r>
      <w:r w:rsidR="0027391B">
        <w:rPr>
          <w:rFonts w:ascii="Times New Roman" w:hAnsi="Times New Roman" w:cs="Times New Roman" w:hint="eastAsia"/>
          <w:color w:val="000000"/>
          <w:sz w:val="24"/>
          <w:szCs w:val="24"/>
          <w:shd w:val="clear" w:color="auto" w:fill="FAFCFF"/>
        </w:rPr>
        <w:t>为</w:t>
      </w:r>
      <w:r w:rsidR="0027391B">
        <w:rPr>
          <w:rFonts w:ascii="Times New Roman" w:hAnsi="Times New Roman" w:cs="Times New Roman" w:hint="eastAsia"/>
          <w:color w:val="000000"/>
          <w:sz w:val="24"/>
          <w:szCs w:val="24"/>
          <w:shd w:val="clear" w:color="auto" w:fill="FAFCFF"/>
        </w:rPr>
        <w:t>1</w:t>
      </w:r>
      <w:r w:rsidR="00285D0D">
        <w:rPr>
          <w:rFonts w:ascii="Times New Roman" w:hAnsi="Times New Roman" w:cs="Times New Roman" w:hint="eastAsia"/>
          <w:color w:val="000000"/>
          <w:sz w:val="24"/>
          <w:szCs w:val="24"/>
          <w:shd w:val="clear" w:color="auto" w:fill="FAFCFF"/>
        </w:rPr>
        <w:t>0</w:t>
      </w:r>
      <w:r w:rsidR="0027391B">
        <w:rPr>
          <w:rFonts w:ascii="Times New Roman" w:hAnsi="Times New Roman" w:cs="Times New Roman" w:hint="eastAsia"/>
          <w:color w:val="000000"/>
          <w:sz w:val="24"/>
          <w:szCs w:val="24"/>
          <w:shd w:val="clear" w:color="auto" w:fill="FAFCFF"/>
        </w:rPr>
        <w:t>宗。</w:t>
      </w:r>
    </w:p>
    <w:p w:rsidR="00643027" w:rsidRDefault="00643027" w:rsidP="0086328F">
      <w:pPr>
        <w:spacing w:beforeLines="50" w:before="156" w:line="360" w:lineRule="auto"/>
        <w:rPr>
          <w:b/>
          <w:sz w:val="24"/>
          <w:szCs w:val="24"/>
        </w:rPr>
      </w:pPr>
      <w:r w:rsidRPr="008F29DD">
        <w:rPr>
          <w:rFonts w:hint="eastAsia"/>
          <w:b/>
          <w:sz w:val="24"/>
          <w:szCs w:val="24"/>
        </w:rPr>
        <w:lastRenderedPageBreak/>
        <w:t>（</w:t>
      </w:r>
      <w:r>
        <w:rPr>
          <w:rFonts w:hint="eastAsia"/>
          <w:b/>
          <w:sz w:val="24"/>
          <w:szCs w:val="24"/>
        </w:rPr>
        <w:t>三</w:t>
      </w:r>
      <w:r w:rsidRPr="008F29DD">
        <w:rPr>
          <w:rFonts w:hint="eastAsia"/>
          <w:b/>
          <w:sz w:val="24"/>
          <w:szCs w:val="24"/>
        </w:rPr>
        <w:t>）</w:t>
      </w:r>
      <w:r>
        <w:rPr>
          <w:rFonts w:hint="eastAsia"/>
          <w:b/>
          <w:sz w:val="24"/>
          <w:szCs w:val="24"/>
        </w:rPr>
        <w:t>成交用途分布</w:t>
      </w:r>
    </w:p>
    <w:p w:rsidR="00643027" w:rsidRDefault="006E2B60" w:rsidP="000D0979">
      <w:pPr>
        <w:spacing w:line="360" w:lineRule="auto"/>
        <w:ind w:firstLineChars="200" w:firstLine="480"/>
        <w:rPr>
          <w:rFonts w:ascii="Times New Roman" w:hAnsi="Times New Roman" w:cs="Times New Roman"/>
          <w:color w:val="000000"/>
          <w:sz w:val="24"/>
          <w:szCs w:val="24"/>
          <w:shd w:val="clear" w:color="auto" w:fill="FAFCFF"/>
        </w:rPr>
      </w:pPr>
      <w:r>
        <w:rPr>
          <w:rFonts w:ascii="Times New Roman" w:hAnsi="Times New Roman" w:cs="Times New Roman" w:hint="eastAsia"/>
          <w:color w:val="000000"/>
          <w:sz w:val="24"/>
          <w:szCs w:val="24"/>
          <w:shd w:val="clear" w:color="auto" w:fill="FAFCFF"/>
        </w:rPr>
        <w:t>2015</w:t>
      </w:r>
      <w:r w:rsidR="00F27E84">
        <w:rPr>
          <w:rFonts w:ascii="Times New Roman" w:hAnsi="Times New Roman" w:cs="Times New Roman" w:hint="eastAsia"/>
          <w:color w:val="000000"/>
          <w:sz w:val="24"/>
          <w:szCs w:val="24"/>
          <w:shd w:val="clear" w:color="auto" w:fill="FAFCFF"/>
        </w:rPr>
        <w:t>年第三</w:t>
      </w:r>
      <w:r w:rsidR="003A67F1">
        <w:rPr>
          <w:rFonts w:ascii="Times New Roman" w:hAnsi="Times New Roman" w:cs="Times New Roman" w:hint="eastAsia"/>
          <w:color w:val="000000"/>
          <w:sz w:val="24"/>
          <w:szCs w:val="24"/>
          <w:shd w:val="clear" w:color="auto" w:fill="FAFCFF"/>
        </w:rPr>
        <w:t>季度，苏南五市成交土地中</w:t>
      </w:r>
      <w:r w:rsidR="00295817">
        <w:rPr>
          <w:rFonts w:ascii="Times New Roman" w:hAnsi="Times New Roman" w:cs="Times New Roman" w:hint="eastAsia"/>
          <w:color w:val="000000"/>
          <w:sz w:val="24"/>
          <w:szCs w:val="24"/>
          <w:shd w:val="clear" w:color="auto" w:fill="FAFCFF"/>
        </w:rPr>
        <w:t>住宅用地</w:t>
      </w:r>
      <w:r w:rsidR="00B46CAF">
        <w:rPr>
          <w:rFonts w:ascii="Times New Roman" w:hAnsi="Times New Roman" w:cs="Times New Roman" w:hint="eastAsia"/>
          <w:color w:val="000000"/>
          <w:sz w:val="24"/>
          <w:szCs w:val="24"/>
          <w:shd w:val="clear" w:color="auto" w:fill="FAFCFF"/>
        </w:rPr>
        <w:t>20</w:t>
      </w:r>
      <w:r w:rsidR="00295817">
        <w:rPr>
          <w:rFonts w:ascii="Times New Roman" w:hAnsi="Times New Roman" w:cs="Times New Roman" w:hint="eastAsia"/>
          <w:color w:val="000000"/>
          <w:sz w:val="24"/>
          <w:szCs w:val="24"/>
          <w:shd w:val="clear" w:color="auto" w:fill="FAFCFF"/>
        </w:rPr>
        <w:t>宗，商住用地</w:t>
      </w:r>
      <w:r w:rsidR="00295817">
        <w:rPr>
          <w:rFonts w:ascii="Times New Roman" w:hAnsi="Times New Roman" w:cs="Times New Roman" w:hint="eastAsia"/>
          <w:color w:val="000000"/>
          <w:sz w:val="24"/>
          <w:szCs w:val="24"/>
          <w:shd w:val="clear" w:color="auto" w:fill="FAFCFF"/>
        </w:rPr>
        <w:t>2</w:t>
      </w:r>
      <w:r w:rsidR="00B46CAF">
        <w:rPr>
          <w:rFonts w:ascii="Times New Roman" w:hAnsi="Times New Roman" w:cs="Times New Roman" w:hint="eastAsia"/>
          <w:color w:val="000000"/>
          <w:sz w:val="24"/>
          <w:szCs w:val="24"/>
          <w:shd w:val="clear" w:color="auto" w:fill="FAFCFF"/>
        </w:rPr>
        <w:t>6</w:t>
      </w:r>
      <w:r w:rsidR="00295817">
        <w:rPr>
          <w:rFonts w:ascii="Times New Roman" w:hAnsi="Times New Roman" w:cs="Times New Roman" w:hint="eastAsia"/>
          <w:color w:val="000000"/>
          <w:sz w:val="24"/>
          <w:szCs w:val="24"/>
          <w:shd w:val="clear" w:color="auto" w:fill="FAFCFF"/>
        </w:rPr>
        <w:t>宗，商服用地</w:t>
      </w:r>
      <w:r w:rsidR="00B46CAF">
        <w:rPr>
          <w:rFonts w:ascii="Times New Roman" w:hAnsi="Times New Roman" w:cs="Times New Roman" w:hint="eastAsia"/>
          <w:color w:val="000000"/>
          <w:sz w:val="24"/>
          <w:szCs w:val="24"/>
          <w:shd w:val="clear" w:color="auto" w:fill="FAFCFF"/>
        </w:rPr>
        <w:t>26</w:t>
      </w:r>
      <w:r w:rsidR="00295817">
        <w:rPr>
          <w:rFonts w:ascii="Times New Roman" w:hAnsi="Times New Roman" w:cs="Times New Roman" w:hint="eastAsia"/>
          <w:color w:val="000000"/>
          <w:sz w:val="24"/>
          <w:szCs w:val="24"/>
          <w:shd w:val="clear" w:color="auto" w:fill="FAFCFF"/>
        </w:rPr>
        <w:t>宗。</w:t>
      </w:r>
      <w:r w:rsidR="00B46CAF">
        <w:rPr>
          <w:rFonts w:ascii="Times New Roman" w:hAnsi="Times New Roman" w:cs="Times New Roman" w:hint="eastAsia"/>
          <w:color w:val="000000"/>
          <w:sz w:val="24"/>
          <w:szCs w:val="24"/>
          <w:shd w:val="clear" w:color="auto" w:fill="FAFCFF"/>
        </w:rPr>
        <w:t>三</w:t>
      </w:r>
      <w:r w:rsidR="00B11724">
        <w:rPr>
          <w:rFonts w:ascii="Times New Roman" w:hAnsi="Times New Roman" w:cs="Times New Roman" w:hint="eastAsia"/>
          <w:color w:val="000000"/>
          <w:sz w:val="24"/>
          <w:szCs w:val="24"/>
          <w:shd w:val="clear" w:color="auto" w:fill="FAFCFF"/>
        </w:rPr>
        <w:t>季度成交土地中</w:t>
      </w:r>
      <w:r w:rsidR="003A67F1">
        <w:rPr>
          <w:rFonts w:ascii="Times New Roman" w:hAnsi="Times New Roman" w:cs="Times New Roman" w:hint="eastAsia"/>
          <w:color w:val="000000"/>
          <w:sz w:val="24"/>
          <w:szCs w:val="24"/>
          <w:shd w:val="clear" w:color="auto" w:fill="FAFCFF"/>
        </w:rPr>
        <w:t>商服用地</w:t>
      </w:r>
      <w:r w:rsidR="00B46CAF">
        <w:rPr>
          <w:rFonts w:ascii="Times New Roman" w:hAnsi="Times New Roman" w:cs="Times New Roman" w:hint="eastAsia"/>
          <w:color w:val="000000"/>
          <w:sz w:val="24"/>
          <w:szCs w:val="24"/>
          <w:shd w:val="clear" w:color="auto" w:fill="FAFCFF"/>
        </w:rPr>
        <w:t>和商住用地齐平</w:t>
      </w:r>
      <w:r w:rsidR="003A67F1">
        <w:rPr>
          <w:rFonts w:ascii="Times New Roman" w:hAnsi="Times New Roman" w:cs="Times New Roman" w:hint="eastAsia"/>
          <w:color w:val="000000"/>
          <w:sz w:val="24"/>
          <w:szCs w:val="24"/>
          <w:shd w:val="clear" w:color="auto" w:fill="FAFCFF"/>
        </w:rPr>
        <w:t>，</w:t>
      </w:r>
      <w:r w:rsidR="00B46CAF">
        <w:rPr>
          <w:rFonts w:ascii="Times New Roman" w:hAnsi="Times New Roman" w:cs="Times New Roman" w:hint="eastAsia"/>
          <w:color w:val="000000"/>
          <w:sz w:val="24"/>
          <w:szCs w:val="24"/>
          <w:shd w:val="clear" w:color="auto" w:fill="FAFCFF"/>
        </w:rPr>
        <w:t>都</w:t>
      </w:r>
      <w:r w:rsidR="00B11724">
        <w:rPr>
          <w:rFonts w:ascii="Times New Roman" w:hAnsi="Times New Roman" w:cs="Times New Roman" w:hint="eastAsia"/>
          <w:color w:val="000000"/>
          <w:sz w:val="24"/>
          <w:szCs w:val="24"/>
          <w:shd w:val="clear" w:color="auto" w:fill="FAFCFF"/>
        </w:rPr>
        <w:t>达到</w:t>
      </w:r>
      <w:r w:rsidR="00B46CAF">
        <w:rPr>
          <w:rFonts w:ascii="Times New Roman" w:hAnsi="Times New Roman" w:cs="Times New Roman" w:hint="eastAsia"/>
          <w:color w:val="000000"/>
          <w:sz w:val="24"/>
          <w:szCs w:val="24"/>
          <w:shd w:val="clear" w:color="auto" w:fill="FAFCFF"/>
        </w:rPr>
        <w:t>了</w:t>
      </w:r>
      <w:r w:rsidR="00B46CAF">
        <w:rPr>
          <w:rFonts w:ascii="Times New Roman" w:hAnsi="Times New Roman" w:cs="Times New Roman" w:hint="eastAsia"/>
          <w:color w:val="000000"/>
          <w:sz w:val="24"/>
          <w:szCs w:val="24"/>
          <w:shd w:val="clear" w:color="auto" w:fill="FAFCFF"/>
        </w:rPr>
        <w:t>37.68</w:t>
      </w:r>
      <w:r w:rsidR="00B11724">
        <w:rPr>
          <w:rFonts w:ascii="Times New Roman" w:hAnsi="Times New Roman" w:cs="Times New Roman" w:hint="eastAsia"/>
          <w:color w:val="000000"/>
          <w:sz w:val="24"/>
          <w:szCs w:val="24"/>
          <w:shd w:val="clear" w:color="auto" w:fill="FAFCFF"/>
        </w:rPr>
        <w:t>%</w:t>
      </w:r>
      <w:r w:rsidR="00B11724">
        <w:rPr>
          <w:rFonts w:ascii="Times New Roman" w:hAnsi="Times New Roman" w:cs="Times New Roman" w:hint="eastAsia"/>
          <w:color w:val="000000"/>
          <w:sz w:val="24"/>
          <w:szCs w:val="24"/>
          <w:shd w:val="clear" w:color="auto" w:fill="FAFCFF"/>
        </w:rPr>
        <w:t>。商业用地比重占主体</w:t>
      </w:r>
      <w:r w:rsidR="0081343B">
        <w:rPr>
          <w:rFonts w:ascii="Times New Roman" w:hAnsi="Times New Roman" w:cs="Times New Roman" w:hint="eastAsia"/>
          <w:color w:val="000000"/>
          <w:sz w:val="24"/>
          <w:szCs w:val="24"/>
          <w:shd w:val="clear" w:color="auto" w:fill="FAFCFF"/>
        </w:rPr>
        <w:t>一方面政府供地中商业用地的</w:t>
      </w:r>
      <w:proofErr w:type="gramStart"/>
      <w:r w:rsidR="0081343B">
        <w:rPr>
          <w:rFonts w:ascii="Times New Roman" w:hAnsi="Times New Roman" w:cs="Times New Roman" w:hint="eastAsia"/>
          <w:color w:val="000000"/>
          <w:sz w:val="24"/>
          <w:szCs w:val="24"/>
          <w:shd w:val="clear" w:color="auto" w:fill="FAFCFF"/>
        </w:rPr>
        <w:t>配比占</w:t>
      </w:r>
      <w:proofErr w:type="gramEnd"/>
      <w:r w:rsidR="0081343B">
        <w:rPr>
          <w:rFonts w:ascii="Times New Roman" w:hAnsi="Times New Roman" w:cs="Times New Roman" w:hint="eastAsia"/>
          <w:color w:val="000000"/>
          <w:sz w:val="24"/>
          <w:szCs w:val="24"/>
          <w:shd w:val="clear" w:color="auto" w:fill="FAFCFF"/>
        </w:rPr>
        <w:t>主导，另外也说明在建设小区时越来越注重商业的配套。</w:t>
      </w:r>
      <w:r w:rsidR="00B46CAF">
        <w:rPr>
          <w:rFonts w:ascii="Times New Roman" w:hAnsi="Times New Roman" w:cs="Times New Roman" w:hint="eastAsia"/>
          <w:color w:val="000000"/>
          <w:sz w:val="24"/>
          <w:szCs w:val="24"/>
          <w:shd w:val="clear" w:color="auto" w:fill="FAFCFF"/>
        </w:rPr>
        <w:t>三</w:t>
      </w:r>
      <w:r w:rsidR="004126D6">
        <w:rPr>
          <w:rFonts w:ascii="Times New Roman" w:hAnsi="Times New Roman" w:cs="Times New Roman" w:hint="eastAsia"/>
          <w:color w:val="000000"/>
          <w:sz w:val="24"/>
          <w:szCs w:val="24"/>
          <w:shd w:val="clear" w:color="auto" w:fill="FAFCFF"/>
        </w:rPr>
        <w:t>季度住宅用地比例</w:t>
      </w:r>
      <w:r w:rsidR="00B46CAF">
        <w:rPr>
          <w:rFonts w:ascii="Times New Roman" w:hAnsi="Times New Roman" w:cs="Times New Roman" w:hint="eastAsia"/>
          <w:color w:val="000000"/>
          <w:sz w:val="24"/>
          <w:szCs w:val="24"/>
          <w:shd w:val="clear" w:color="auto" w:fill="FAFCFF"/>
        </w:rPr>
        <w:t>27.</w:t>
      </w:r>
      <w:r w:rsidR="004126D6">
        <w:rPr>
          <w:rFonts w:ascii="Times New Roman" w:hAnsi="Times New Roman" w:cs="Times New Roman" w:hint="eastAsia"/>
          <w:color w:val="000000"/>
          <w:sz w:val="24"/>
          <w:szCs w:val="24"/>
          <w:shd w:val="clear" w:color="auto" w:fill="FAFCFF"/>
        </w:rPr>
        <w:t>4</w:t>
      </w:r>
      <w:r w:rsidR="00B46CAF">
        <w:rPr>
          <w:rFonts w:ascii="Times New Roman" w:hAnsi="Times New Roman" w:cs="Times New Roman" w:hint="eastAsia"/>
          <w:color w:val="000000"/>
          <w:sz w:val="24"/>
          <w:szCs w:val="24"/>
          <w:shd w:val="clear" w:color="auto" w:fill="FAFCFF"/>
        </w:rPr>
        <w:t>0</w:t>
      </w:r>
      <w:r w:rsidR="004126D6">
        <w:rPr>
          <w:rFonts w:ascii="Times New Roman" w:hAnsi="Times New Roman" w:cs="Times New Roman" w:hint="eastAsia"/>
          <w:color w:val="000000"/>
          <w:sz w:val="24"/>
          <w:szCs w:val="24"/>
          <w:shd w:val="clear" w:color="auto" w:fill="FAFCFF"/>
        </w:rPr>
        <w:t>%</w:t>
      </w:r>
      <w:r w:rsidR="004126D6">
        <w:rPr>
          <w:rFonts w:ascii="Times New Roman" w:hAnsi="Times New Roman" w:cs="Times New Roman" w:hint="eastAsia"/>
          <w:color w:val="000000"/>
          <w:sz w:val="24"/>
          <w:szCs w:val="24"/>
          <w:shd w:val="clear" w:color="auto" w:fill="FAFCFF"/>
        </w:rPr>
        <w:t>，住宅用地比例</w:t>
      </w:r>
      <w:r w:rsidR="00B46CAF">
        <w:rPr>
          <w:rFonts w:ascii="Times New Roman" w:hAnsi="Times New Roman" w:cs="Times New Roman" w:hint="eastAsia"/>
          <w:color w:val="000000"/>
          <w:sz w:val="24"/>
          <w:szCs w:val="24"/>
          <w:shd w:val="clear" w:color="auto" w:fill="FAFCFF"/>
        </w:rPr>
        <w:t>略微提升</w:t>
      </w:r>
      <w:r w:rsidR="004126D6">
        <w:rPr>
          <w:rFonts w:ascii="Times New Roman" w:hAnsi="Times New Roman" w:cs="Times New Roman" w:hint="eastAsia"/>
          <w:color w:val="000000"/>
          <w:sz w:val="24"/>
          <w:szCs w:val="24"/>
          <w:shd w:val="clear" w:color="auto" w:fill="FAFCFF"/>
        </w:rPr>
        <w:t>。但随着国土部和住建部</w:t>
      </w:r>
      <w:r w:rsidR="004126D6">
        <w:rPr>
          <w:rFonts w:ascii="Times New Roman" w:hAnsi="Times New Roman" w:cs="Times New Roman" w:hint="eastAsia"/>
          <w:color w:val="000000"/>
          <w:sz w:val="24"/>
          <w:szCs w:val="24"/>
          <w:shd w:val="clear" w:color="auto" w:fill="FAFCFF"/>
        </w:rPr>
        <w:t>2015</w:t>
      </w:r>
      <w:r w:rsidR="004126D6">
        <w:rPr>
          <w:rFonts w:ascii="Times New Roman" w:hAnsi="Times New Roman" w:cs="Times New Roman" w:hint="eastAsia"/>
          <w:color w:val="000000"/>
          <w:sz w:val="24"/>
          <w:szCs w:val="24"/>
          <w:shd w:val="clear" w:color="auto" w:fill="FAFCFF"/>
        </w:rPr>
        <w:t>年</w:t>
      </w:r>
      <w:r w:rsidR="004126D6">
        <w:rPr>
          <w:rFonts w:ascii="Times New Roman" w:hAnsi="Times New Roman" w:cs="Times New Roman" w:hint="eastAsia"/>
          <w:color w:val="000000"/>
          <w:sz w:val="24"/>
          <w:szCs w:val="24"/>
          <w:shd w:val="clear" w:color="auto" w:fill="FAFCFF"/>
        </w:rPr>
        <w:t>3</w:t>
      </w:r>
      <w:r w:rsidR="004126D6">
        <w:rPr>
          <w:rFonts w:ascii="Times New Roman" w:hAnsi="Times New Roman" w:cs="Times New Roman" w:hint="eastAsia"/>
          <w:color w:val="000000"/>
          <w:sz w:val="24"/>
          <w:szCs w:val="24"/>
          <w:shd w:val="clear" w:color="auto" w:fill="FAFCFF"/>
        </w:rPr>
        <w:t>月</w:t>
      </w:r>
      <w:r w:rsidR="004126D6">
        <w:rPr>
          <w:rFonts w:ascii="Times New Roman" w:hAnsi="Times New Roman" w:cs="Times New Roman" w:hint="eastAsia"/>
          <w:color w:val="000000"/>
          <w:sz w:val="24"/>
          <w:szCs w:val="24"/>
          <w:shd w:val="clear" w:color="auto" w:fill="FAFCFF"/>
        </w:rPr>
        <w:t>25</w:t>
      </w:r>
      <w:r w:rsidR="004126D6">
        <w:rPr>
          <w:rFonts w:ascii="Times New Roman" w:hAnsi="Times New Roman" w:cs="Times New Roman" w:hint="eastAsia"/>
          <w:color w:val="000000"/>
          <w:sz w:val="24"/>
          <w:szCs w:val="24"/>
          <w:shd w:val="clear" w:color="auto" w:fill="FAFCFF"/>
        </w:rPr>
        <w:t>日《</w:t>
      </w:r>
      <w:r w:rsidR="004126D6" w:rsidRPr="004126D6">
        <w:rPr>
          <w:rFonts w:ascii="Times New Roman" w:hAnsi="Times New Roman" w:cs="Times New Roman" w:hint="eastAsia"/>
          <w:color w:val="000000"/>
          <w:sz w:val="24"/>
          <w:szCs w:val="24"/>
          <w:shd w:val="clear" w:color="auto" w:fill="FAFCFF"/>
        </w:rPr>
        <w:t>关于优化</w:t>
      </w:r>
      <w:r w:rsidR="004126D6" w:rsidRPr="004126D6">
        <w:rPr>
          <w:rFonts w:ascii="Times New Roman" w:hAnsi="Times New Roman" w:cs="Times New Roman" w:hint="eastAsia"/>
          <w:color w:val="000000"/>
          <w:sz w:val="24"/>
          <w:szCs w:val="24"/>
          <w:shd w:val="clear" w:color="auto" w:fill="FAFCFF"/>
        </w:rPr>
        <w:t>2015</w:t>
      </w:r>
      <w:r w:rsidR="004126D6" w:rsidRPr="004126D6">
        <w:rPr>
          <w:rFonts w:ascii="Times New Roman" w:hAnsi="Times New Roman" w:cs="Times New Roman" w:hint="eastAsia"/>
          <w:color w:val="000000"/>
          <w:sz w:val="24"/>
          <w:szCs w:val="24"/>
          <w:shd w:val="clear" w:color="auto" w:fill="FAFCFF"/>
        </w:rPr>
        <w:t>年住房及用地供应结构促进房地产市场平稳健康发展的通知</w:t>
      </w:r>
      <w:r w:rsidR="004126D6">
        <w:rPr>
          <w:rFonts w:ascii="Times New Roman" w:hAnsi="Times New Roman" w:cs="Times New Roman" w:hint="eastAsia"/>
          <w:color w:val="000000"/>
          <w:sz w:val="24"/>
          <w:szCs w:val="24"/>
          <w:shd w:val="clear" w:color="auto" w:fill="FAFCFF"/>
        </w:rPr>
        <w:t>》政策的出台，供地结构会有所调整，促进房地产平稳健康发展。</w:t>
      </w:r>
    </w:p>
    <w:p w:rsidR="003A67F1" w:rsidRPr="00451929" w:rsidRDefault="003A67F1" w:rsidP="003A67F1">
      <w:pPr>
        <w:spacing w:line="360" w:lineRule="auto"/>
        <w:jc w:val="center"/>
        <w:rPr>
          <w:rFonts w:ascii="Times New Roman" w:hAnsi="Times New Roman" w:cs="Times New Roman"/>
          <w:b/>
          <w:szCs w:val="21"/>
        </w:rPr>
      </w:pPr>
      <w:r w:rsidRPr="00451929">
        <w:rPr>
          <w:rFonts w:ascii="Times New Roman" w:hAnsi="Times New Roman" w:cs="Times New Roman"/>
          <w:b/>
          <w:szCs w:val="21"/>
        </w:rPr>
        <w:t>表</w:t>
      </w:r>
      <w:r>
        <w:rPr>
          <w:rFonts w:ascii="Times New Roman" w:hAnsi="Times New Roman" w:cs="Times New Roman" w:hint="eastAsia"/>
          <w:b/>
          <w:szCs w:val="21"/>
        </w:rPr>
        <w:t>2</w:t>
      </w:r>
      <w:r w:rsidRPr="00451929">
        <w:rPr>
          <w:rFonts w:ascii="Times New Roman" w:hAnsi="Times New Roman" w:cs="Times New Roman"/>
          <w:b/>
          <w:szCs w:val="21"/>
        </w:rPr>
        <w:t xml:space="preserve"> </w:t>
      </w:r>
      <w:r w:rsidRPr="00451929">
        <w:rPr>
          <w:rFonts w:ascii="Times New Roman" w:hAnsi="Times New Roman" w:cs="Times New Roman"/>
          <w:b/>
          <w:szCs w:val="21"/>
        </w:rPr>
        <w:t>苏南五市</w:t>
      </w:r>
      <w:r w:rsidRPr="00451929">
        <w:rPr>
          <w:rFonts w:ascii="Times New Roman" w:hAnsi="Times New Roman" w:cs="Times New Roman"/>
          <w:b/>
          <w:szCs w:val="21"/>
        </w:rPr>
        <w:t>2015</w:t>
      </w:r>
      <w:r w:rsidRPr="00451929">
        <w:rPr>
          <w:rFonts w:ascii="Times New Roman" w:hAnsi="Times New Roman" w:cs="Times New Roman"/>
          <w:b/>
          <w:szCs w:val="21"/>
        </w:rPr>
        <w:t>年第</w:t>
      </w:r>
      <w:r w:rsidR="00000FE7">
        <w:rPr>
          <w:rFonts w:ascii="Times New Roman" w:hAnsi="Times New Roman" w:cs="Times New Roman" w:hint="eastAsia"/>
          <w:b/>
          <w:szCs w:val="21"/>
        </w:rPr>
        <w:t>三</w:t>
      </w:r>
      <w:r w:rsidRPr="00451929">
        <w:rPr>
          <w:rFonts w:ascii="Times New Roman" w:hAnsi="Times New Roman" w:cs="Times New Roman"/>
          <w:b/>
          <w:szCs w:val="21"/>
        </w:rPr>
        <w:t>季度成交土地各用途分布</w:t>
      </w:r>
    </w:p>
    <w:tbl>
      <w:tblPr>
        <w:tblW w:w="5000" w:type="pct"/>
        <w:tblLook w:val="04A0" w:firstRow="1" w:lastRow="0" w:firstColumn="1" w:lastColumn="0" w:noHBand="0" w:noVBand="1"/>
      </w:tblPr>
      <w:tblGrid>
        <w:gridCol w:w="948"/>
        <w:gridCol w:w="891"/>
        <w:gridCol w:w="1002"/>
        <w:gridCol w:w="891"/>
        <w:gridCol w:w="1006"/>
        <w:gridCol w:w="891"/>
        <w:gridCol w:w="1002"/>
        <w:gridCol w:w="989"/>
        <w:gridCol w:w="902"/>
      </w:tblGrid>
      <w:tr w:rsidR="003A67F1" w:rsidRPr="003A67F1" w:rsidTr="00B46CAF">
        <w:trPr>
          <w:trHeight w:val="285"/>
        </w:trPr>
        <w:tc>
          <w:tcPr>
            <w:tcW w:w="556" w:type="pct"/>
            <w:vMerge w:val="restart"/>
            <w:tcBorders>
              <w:top w:val="single" w:sz="8" w:space="0" w:color="auto"/>
              <w:left w:val="single" w:sz="8" w:space="0" w:color="auto"/>
              <w:bottom w:val="single" w:sz="8" w:space="0" w:color="auto"/>
              <w:right w:val="single" w:sz="8" w:space="0" w:color="auto"/>
            </w:tcBorders>
            <w:shd w:val="clear" w:color="000000" w:fill="C4BD97"/>
            <w:noWrap/>
            <w:vAlign w:val="center"/>
            <w:hideMark/>
          </w:tcPr>
          <w:p w:rsidR="003A67F1" w:rsidRPr="008F22EB" w:rsidRDefault="003A67F1" w:rsidP="003A67F1">
            <w:pPr>
              <w:widowControl/>
              <w:jc w:val="center"/>
              <w:rPr>
                <w:rFonts w:ascii="宋体" w:eastAsia="宋体" w:hAnsi="宋体" w:cs="宋体"/>
                <w:color w:val="000000"/>
                <w:kern w:val="0"/>
                <w:szCs w:val="21"/>
              </w:rPr>
            </w:pPr>
            <w:r w:rsidRPr="008F22EB">
              <w:rPr>
                <w:rFonts w:ascii="宋体" w:eastAsia="宋体" w:hAnsi="宋体" w:cs="宋体" w:hint="eastAsia"/>
                <w:color w:val="000000"/>
                <w:kern w:val="0"/>
                <w:szCs w:val="21"/>
              </w:rPr>
              <w:t xml:space="preserve">　</w:t>
            </w:r>
          </w:p>
        </w:tc>
        <w:tc>
          <w:tcPr>
            <w:tcW w:w="1111" w:type="pct"/>
            <w:gridSpan w:val="2"/>
            <w:tcBorders>
              <w:top w:val="single" w:sz="8" w:space="0" w:color="auto"/>
              <w:left w:val="nil"/>
              <w:bottom w:val="single" w:sz="8" w:space="0" w:color="auto"/>
              <w:right w:val="single" w:sz="8" w:space="0" w:color="auto"/>
            </w:tcBorders>
            <w:shd w:val="clear" w:color="000000" w:fill="C4BD97"/>
            <w:noWrap/>
            <w:vAlign w:val="center"/>
            <w:hideMark/>
          </w:tcPr>
          <w:p w:rsidR="003A67F1" w:rsidRPr="008F22EB" w:rsidRDefault="003A67F1" w:rsidP="003A67F1">
            <w:pPr>
              <w:widowControl/>
              <w:jc w:val="center"/>
              <w:rPr>
                <w:rFonts w:ascii="宋体" w:eastAsia="宋体" w:hAnsi="宋体" w:cs="宋体"/>
                <w:b/>
                <w:bCs/>
                <w:color w:val="000000"/>
                <w:kern w:val="0"/>
                <w:szCs w:val="21"/>
              </w:rPr>
            </w:pPr>
            <w:r w:rsidRPr="008F22EB">
              <w:rPr>
                <w:rFonts w:ascii="宋体" w:eastAsia="宋体" w:hAnsi="宋体" w:cs="宋体" w:hint="eastAsia"/>
                <w:b/>
                <w:bCs/>
                <w:color w:val="000000"/>
                <w:kern w:val="0"/>
                <w:szCs w:val="21"/>
              </w:rPr>
              <w:t>纯住宅</w:t>
            </w:r>
          </w:p>
        </w:tc>
        <w:tc>
          <w:tcPr>
            <w:tcW w:w="1112" w:type="pct"/>
            <w:gridSpan w:val="2"/>
            <w:tcBorders>
              <w:top w:val="single" w:sz="8" w:space="0" w:color="auto"/>
              <w:left w:val="nil"/>
              <w:bottom w:val="single" w:sz="8" w:space="0" w:color="auto"/>
              <w:right w:val="single" w:sz="8" w:space="0" w:color="auto"/>
            </w:tcBorders>
            <w:shd w:val="clear" w:color="000000" w:fill="C4BD97"/>
            <w:noWrap/>
            <w:vAlign w:val="center"/>
            <w:hideMark/>
          </w:tcPr>
          <w:p w:rsidR="003A67F1" w:rsidRPr="008F22EB" w:rsidRDefault="003A67F1" w:rsidP="003A67F1">
            <w:pPr>
              <w:widowControl/>
              <w:jc w:val="center"/>
              <w:rPr>
                <w:rFonts w:ascii="宋体" w:eastAsia="宋体" w:hAnsi="宋体" w:cs="宋体"/>
                <w:b/>
                <w:bCs/>
                <w:color w:val="000000"/>
                <w:kern w:val="0"/>
                <w:szCs w:val="21"/>
              </w:rPr>
            </w:pPr>
            <w:r w:rsidRPr="008F22EB">
              <w:rPr>
                <w:rFonts w:ascii="宋体" w:eastAsia="宋体" w:hAnsi="宋体" w:cs="宋体" w:hint="eastAsia"/>
                <w:b/>
                <w:bCs/>
                <w:color w:val="000000"/>
                <w:kern w:val="0"/>
                <w:szCs w:val="21"/>
              </w:rPr>
              <w:t>商住</w:t>
            </w:r>
          </w:p>
        </w:tc>
        <w:tc>
          <w:tcPr>
            <w:tcW w:w="1111" w:type="pct"/>
            <w:gridSpan w:val="2"/>
            <w:tcBorders>
              <w:top w:val="single" w:sz="8" w:space="0" w:color="auto"/>
              <w:left w:val="nil"/>
              <w:bottom w:val="single" w:sz="8" w:space="0" w:color="auto"/>
              <w:right w:val="single" w:sz="8" w:space="0" w:color="auto"/>
            </w:tcBorders>
            <w:shd w:val="clear" w:color="000000" w:fill="C4BD97"/>
            <w:noWrap/>
            <w:vAlign w:val="center"/>
            <w:hideMark/>
          </w:tcPr>
          <w:p w:rsidR="003A67F1" w:rsidRPr="008F22EB" w:rsidRDefault="003A67F1" w:rsidP="003A67F1">
            <w:pPr>
              <w:widowControl/>
              <w:jc w:val="center"/>
              <w:rPr>
                <w:rFonts w:ascii="宋体" w:eastAsia="宋体" w:hAnsi="宋体" w:cs="宋体"/>
                <w:b/>
                <w:bCs/>
                <w:color w:val="000000"/>
                <w:kern w:val="0"/>
                <w:szCs w:val="21"/>
              </w:rPr>
            </w:pPr>
            <w:r w:rsidRPr="008F22EB">
              <w:rPr>
                <w:rFonts w:ascii="宋体" w:eastAsia="宋体" w:hAnsi="宋体" w:cs="宋体" w:hint="eastAsia"/>
                <w:b/>
                <w:bCs/>
                <w:color w:val="000000"/>
                <w:kern w:val="0"/>
                <w:szCs w:val="21"/>
              </w:rPr>
              <w:t>商服</w:t>
            </w:r>
          </w:p>
        </w:tc>
        <w:tc>
          <w:tcPr>
            <w:tcW w:w="1110" w:type="pct"/>
            <w:gridSpan w:val="2"/>
            <w:tcBorders>
              <w:top w:val="single" w:sz="8" w:space="0" w:color="auto"/>
              <w:left w:val="nil"/>
              <w:bottom w:val="single" w:sz="8" w:space="0" w:color="auto"/>
              <w:right w:val="single" w:sz="8" w:space="0" w:color="auto"/>
            </w:tcBorders>
            <w:shd w:val="clear" w:color="000000" w:fill="C4BD97"/>
            <w:noWrap/>
            <w:vAlign w:val="center"/>
            <w:hideMark/>
          </w:tcPr>
          <w:p w:rsidR="003A67F1" w:rsidRPr="008F22EB" w:rsidRDefault="003A67F1" w:rsidP="003A67F1">
            <w:pPr>
              <w:widowControl/>
              <w:jc w:val="center"/>
              <w:rPr>
                <w:rFonts w:ascii="宋体" w:eastAsia="宋体" w:hAnsi="宋体" w:cs="宋体"/>
                <w:b/>
                <w:bCs/>
                <w:color w:val="000000"/>
                <w:kern w:val="0"/>
                <w:szCs w:val="21"/>
              </w:rPr>
            </w:pPr>
            <w:r w:rsidRPr="008F22EB">
              <w:rPr>
                <w:rFonts w:ascii="宋体" w:eastAsia="宋体" w:hAnsi="宋体" w:cs="宋体" w:hint="eastAsia"/>
                <w:b/>
                <w:bCs/>
                <w:color w:val="000000"/>
                <w:kern w:val="0"/>
                <w:szCs w:val="21"/>
              </w:rPr>
              <w:t>其他</w:t>
            </w:r>
          </w:p>
        </w:tc>
      </w:tr>
      <w:tr w:rsidR="003A67F1" w:rsidRPr="003A67F1" w:rsidTr="00B46CAF">
        <w:trPr>
          <w:trHeight w:val="285"/>
        </w:trPr>
        <w:tc>
          <w:tcPr>
            <w:tcW w:w="556" w:type="pct"/>
            <w:vMerge/>
            <w:tcBorders>
              <w:top w:val="single" w:sz="8" w:space="0" w:color="auto"/>
              <w:left w:val="single" w:sz="8" w:space="0" w:color="auto"/>
              <w:bottom w:val="single" w:sz="8" w:space="0" w:color="auto"/>
              <w:right w:val="single" w:sz="8" w:space="0" w:color="auto"/>
            </w:tcBorders>
            <w:vAlign w:val="center"/>
            <w:hideMark/>
          </w:tcPr>
          <w:p w:rsidR="003A67F1" w:rsidRPr="008F22EB" w:rsidRDefault="003A67F1" w:rsidP="003A67F1">
            <w:pPr>
              <w:widowControl/>
              <w:jc w:val="left"/>
              <w:rPr>
                <w:rFonts w:ascii="宋体" w:eastAsia="宋体" w:hAnsi="宋体" w:cs="宋体"/>
                <w:color w:val="000000"/>
                <w:kern w:val="0"/>
                <w:szCs w:val="21"/>
              </w:rPr>
            </w:pPr>
          </w:p>
        </w:tc>
        <w:tc>
          <w:tcPr>
            <w:tcW w:w="523" w:type="pct"/>
            <w:tcBorders>
              <w:top w:val="nil"/>
              <w:left w:val="nil"/>
              <w:bottom w:val="single" w:sz="8" w:space="0" w:color="auto"/>
              <w:right w:val="single" w:sz="8" w:space="0" w:color="auto"/>
            </w:tcBorders>
            <w:shd w:val="clear" w:color="000000" w:fill="C4BD97"/>
            <w:noWrap/>
            <w:vAlign w:val="center"/>
            <w:hideMark/>
          </w:tcPr>
          <w:p w:rsidR="003A67F1" w:rsidRPr="008F22EB" w:rsidRDefault="003A67F1" w:rsidP="003A67F1">
            <w:pPr>
              <w:widowControl/>
              <w:jc w:val="center"/>
              <w:rPr>
                <w:rFonts w:ascii="宋体" w:eastAsia="宋体" w:hAnsi="宋体" w:cs="宋体"/>
                <w:b/>
                <w:bCs/>
                <w:color w:val="000000"/>
                <w:kern w:val="0"/>
                <w:szCs w:val="21"/>
              </w:rPr>
            </w:pPr>
            <w:r w:rsidRPr="008F22EB">
              <w:rPr>
                <w:rFonts w:ascii="宋体" w:eastAsia="宋体" w:hAnsi="宋体" w:cs="宋体" w:hint="eastAsia"/>
                <w:b/>
                <w:bCs/>
                <w:color w:val="000000"/>
                <w:kern w:val="0"/>
                <w:szCs w:val="21"/>
              </w:rPr>
              <w:t>宗地数</w:t>
            </w:r>
          </w:p>
        </w:tc>
        <w:tc>
          <w:tcPr>
            <w:tcW w:w="588" w:type="pct"/>
            <w:tcBorders>
              <w:top w:val="nil"/>
              <w:left w:val="nil"/>
              <w:bottom w:val="single" w:sz="8" w:space="0" w:color="auto"/>
              <w:right w:val="single" w:sz="8" w:space="0" w:color="auto"/>
            </w:tcBorders>
            <w:shd w:val="clear" w:color="000000" w:fill="C4BD97"/>
            <w:noWrap/>
            <w:vAlign w:val="center"/>
            <w:hideMark/>
          </w:tcPr>
          <w:p w:rsidR="003A67F1" w:rsidRPr="008F22EB" w:rsidRDefault="003A67F1" w:rsidP="003A67F1">
            <w:pPr>
              <w:widowControl/>
              <w:jc w:val="center"/>
              <w:rPr>
                <w:rFonts w:ascii="宋体" w:eastAsia="宋体" w:hAnsi="宋体" w:cs="宋体"/>
                <w:b/>
                <w:bCs/>
                <w:color w:val="000000"/>
                <w:kern w:val="0"/>
                <w:szCs w:val="21"/>
              </w:rPr>
            </w:pPr>
            <w:r w:rsidRPr="008F22EB">
              <w:rPr>
                <w:rFonts w:ascii="宋体" w:eastAsia="宋体" w:hAnsi="宋体" w:cs="宋体" w:hint="eastAsia"/>
                <w:b/>
                <w:bCs/>
                <w:color w:val="000000"/>
                <w:kern w:val="0"/>
                <w:szCs w:val="21"/>
              </w:rPr>
              <w:t>占比</w:t>
            </w:r>
          </w:p>
        </w:tc>
        <w:tc>
          <w:tcPr>
            <w:tcW w:w="523" w:type="pct"/>
            <w:tcBorders>
              <w:top w:val="nil"/>
              <w:left w:val="nil"/>
              <w:bottom w:val="single" w:sz="8" w:space="0" w:color="auto"/>
              <w:right w:val="single" w:sz="8" w:space="0" w:color="auto"/>
            </w:tcBorders>
            <w:shd w:val="clear" w:color="000000" w:fill="C4BD97"/>
            <w:noWrap/>
            <w:vAlign w:val="center"/>
            <w:hideMark/>
          </w:tcPr>
          <w:p w:rsidR="003A67F1" w:rsidRPr="008F22EB" w:rsidRDefault="003A67F1" w:rsidP="003A67F1">
            <w:pPr>
              <w:widowControl/>
              <w:jc w:val="center"/>
              <w:rPr>
                <w:rFonts w:ascii="宋体" w:eastAsia="宋体" w:hAnsi="宋体" w:cs="宋体"/>
                <w:b/>
                <w:bCs/>
                <w:color w:val="000000"/>
                <w:kern w:val="0"/>
                <w:szCs w:val="21"/>
              </w:rPr>
            </w:pPr>
            <w:r w:rsidRPr="008F22EB">
              <w:rPr>
                <w:rFonts w:ascii="宋体" w:eastAsia="宋体" w:hAnsi="宋体" w:cs="宋体" w:hint="eastAsia"/>
                <w:b/>
                <w:bCs/>
                <w:color w:val="000000"/>
                <w:kern w:val="0"/>
                <w:szCs w:val="21"/>
              </w:rPr>
              <w:t>宗地数</w:t>
            </w:r>
          </w:p>
        </w:tc>
        <w:tc>
          <w:tcPr>
            <w:tcW w:w="590" w:type="pct"/>
            <w:tcBorders>
              <w:top w:val="nil"/>
              <w:left w:val="nil"/>
              <w:bottom w:val="single" w:sz="8" w:space="0" w:color="auto"/>
              <w:right w:val="single" w:sz="8" w:space="0" w:color="auto"/>
            </w:tcBorders>
            <w:shd w:val="clear" w:color="000000" w:fill="C4BD97"/>
            <w:noWrap/>
            <w:vAlign w:val="center"/>
            <w:hideMark/>
          </w:tcPr>
          <w:p w:rsidR="003A67F1" w:rsidRPr="008F22EB" w:rsidRDefault="003A67F1" w:rsidP="003A67F1">
            <w:pPr>
              <w:widowControl/>
              <w:jc w:val="center"/>
              <w:rPr>
                <w:rFonts w:ascii="宋体" w:eastAsia="宋体" w:hAnsi="宋体" w:cs="宋体"/>
                <w:b/>
                <w:bCs/>
                <w:color w:val="000000"/>
                <w:kern w:val="0"/>
                <w:szCs w:val="21"/>
              </w:rPr>
            </w:pPr>
            <w:r w:rsidRPr="008F22EB">
              <w:rPr>
                <w:rFonts w:ascii="宋体" w:eastAsia="宋体" w:hAnsi="宋体" w:cs="宋体" w:hint="eastAsia"/>
                <w:b/>
                <w:bCs/>
                <w:color w:val="000000"/>
                <w:kern w:val="0"/>
                <w:szCs w:val="21"/>
              </w:rPr>
              <w:t>占比</w:t>
            </w:r>
          </w:p>
        </w:tc>
        <w:tc>
          <w:tcPr>
            <w:tcW w:w="523" w:type="pct"/>
            <w:tcBorders>
              <w:top w:val="nil"/>
              <w:left w:val="nil"/>
              <w:bottom w:val="single" w:sz="8" w:space="0" w:color="auto"/>
              <w:right w:val="single" w:sz="8" w:space="0" w:color="auto"/>
            </w:tcBorders>
            <w:shd w:val="clear" w:color="000000" w:fill="C4BD97"/>
            <w:noWrap/>
            <w:vAlign w:val="center"/>
            <w:hideMark/>
          </w:tcPr>
          <w:p w:rsidR="003A67F1" w:rsidRPr="008F22EB" w:rsidRDefault="003A67F1" w:rsidP="003A67F1">
            <w:pPr>
              <w:widowControl/>
              <w:jc w:val="center"/>
              <w:rPr>
                <w:rFonts w:ascii="宋体" w:eastAsia="宋体" w:hAnsi="宋体" w:cs="宋体"/>
                <w:b/>
                <w:bCs/>
                <w:color w:val="000000"/>
                <w:kern w:val="0"/>
                <w:szCs w:val="21"/>
              </w:rPr>
            </w:pPr>
            <w:r w:rsidRPr="008F22EB">
              <w:rPr>
                <w:rFonts w:ascii="宋体" w:eastAsia="宋体" w:hAnsi="宋体" w:cs="宋体" w:hint="eastAsia"/>
                <w:b/>
                <w:bCs/>
                <w:color w:val="000000"/>
                <w:kern w:val="0"/>
                <w:szCs w:val="21"/>
              </w:rPr>
              <w:t>宗地数</w:t>
            </w:r>
          </w:p>
        </w:tc>
        <w:tc>
          <w:tcPr>
            <w:tcW w:w="588" w:type="pct"/>
            <w:tcBorders>
              <w:top w:val="nil"/>
              <w:left w:val="nil"/>
              <w:bottom w:val="single" w:sz="8" w:space="0" w:color="auto"/>
              <w:right w:val="single" w:sz="8" w:space="0" w:color="auto"/>
            </w:tcBorders>
            <w:shd w:val="clear" w:color="000000" w:fill="C4BD97"/>
            <w:noWrap/>
            <w:vAlign w:val="center"/>
            <w:hideMark/>
          </w:tcPr>
          <w:p w:rsidR="003A67F1" w:rsidRPr="008F22EB" w:rsidRDefault="003A67F1" w:rsidP="003A67F1">
            <w:pPr>
              <w:widowControl/>
              <w:jc w:val="center"/>
              <w:rPr>
                <w:rFonts w:ascii="宋体" w:eastAsia="宋体" w:hAnsi="宋体" w:cs="宋体"/>
                <w:b/>
                <w:bCs/>
                <w:color w:val="000000"/>
                <w:kern w:val="0"/>
                <w:szCs w:val="21"/>
              </w:rPr>
            </w:pPr>
            <w:r w:rsidRPr="008F22EB">
              <w:rPr>
                <w:rFonts w:ascii="宋体" w:eastAsia="宋体" w:hAnsi="宋体" w:cs="宋体" w:hint="eastAsia"/>
                <w:b/>
                <w:bCs/>
                <w:color w:val="000000"/>
                <w:kern w:val="0"/>
                <w:szCs w:val="21"/>
              </w:rPr>
              <w:t>占比</w:t>
            </w:r>
          </w:p>
        </w:tc>
        <w:tc>
          <w:tcPr>
            <w:tcW w:w="580" w:type="pct"/>
            <w:tcBorders>
              <w:top w:val="nil"/>
              <w:left w:val="nil"/>
              <w:bottom w:val="single" w:sz="8" w:space="0" w:color="auto"/>
              <w:right w:val="single" w:sz="8" w:space="0" w:color="auto"/>
            </w:tcBorders>
            <w:shd w:val="clear" w:color="000000" w:fill="C4BD97"/>
            <w:noWrap/>
            <w:vAlign w:val="center"/>
            <w:hideMark/>
          </w:tcPr>
          <w:p w:rsidR="003A67F1" w:rsidRPr="008F22EB" w:rsidRDefault="003A67F1" w:rsidP="003A67F1">
            <w:pPr>
              <w:widowControl/>
              <w:jc w:val="center"/>
              <w:rPr>
                <w:rFonts w:ascii="宋体" w:eastAsia="宋体" w:hAnsi="宋体" w:cs="宋体"/>
                <w:b/>
                <w:bCs/>
                <w:color w:val="000000"/>
                <w:kern w:val="0"/>
                <w:szCs w:val="21"/>
              </w:rPr>
            </w:pPr>
            <w:r w:rsidRPr="008F22EB">
              <w:rPr>
                <w:rFonts w:ascii="宋体" w:eastAsia="宋体" w:hAnsi="宋体" w:cs="宋体" w:hint="eastAsia"/>
                <w:b/>
                <w:bCs/>
                <w:color w:val="000000"/>
                <w:kern w:val="0"/>
                <w:szCs w:val="21"/>
              </w:rPr>
              <w:t>宗地数</w:t>
            </w:r>
          </w:p>
        </w:tc>
        <w:tc>
          <w:tcPr>
            <w:tcW w:w="530" w:type="pct"/>
            <w:tcBorders>
              <w:top w:val="nil"/>
              <w:left w:val="nil"/>
              <w:bottom w:val="single" w:sz="8" w:space="0" w:color="auto"/>
              <w:right w:val="single" w:sz="8" w:space="0" w:color="auto"/>
            </w:tcBorders>
            <w:shd w:val="clear" w:color="000000" w:fill="C4BD97"/>
            <w:noWrap/>
            <w:vAlign w:val="center"/>
            <w:hideMark/>
          </w:tcPr>
          <w:p w:rsidR="003A67F1" w:rsidRPr="008F22EB" w:rsidRDefault="003A67F1" w:rsidP="003A67F1">
            <w:pPr>
              <w:widowControl/>
              <w:jc w:val="center"/>
              <w:rPr>
                <w:rFonts w:ascii="宋体" w:eastAsia="宋体" w:hAnsi="宋体" w:cs="宋体"/>
                <w:b/>
                <w:bCs/>
                <w:color w:val="000000"/>
                <w:kern w:val="0"/>
                <w:szCs w:val="21"/>
              </w:rPr>
            </w:pPr>
            <w:r w:rsidRPr="008F22EB">
              <w:rPr>
                <w:rFonts w:ascii="宋体" w:eastAsia="宋体" w:hAnsi="宋体" w:cs="宋体" w:hint="eastAsia"/>
                <w:b/>
                <w:bCs/>
                <w:color w:val="000000"/>
                <w:kern w:val="0"/>
                <w:szCs w:val="21"/>
              </w:rPr>
              <w:t>占比</w:t>
            </w:r>
          </w:p>
        </w:tc>
      </w:tr>
      <w:tr w:rsidR="00B46CAF" w:rsidRPr="003A67F1" w:rsidTr="00B46CAF">
        <w:trPr>
          <w:trHeight w:val="315"/>
        </w:trPr>
        <w:tc>
          <w:tcPr>
            <w:tcW w:w="556" w:type="pct"/>
            <w:tcBorders>
              <w:top w:val="nil"/>
              <w:left w:val="single" w:sz="8" w:space="0" w:color="auto"/>
              <w:bottom w:val="single" w:sz="8" w:space="0" w:color="auto"/>
              <w:right w:val="single" w:sz="8" w:space="0" w:color="auto"/>
            </w:tcBorders>
            <w:shd w:val="clear" w:color="auto" w:fill="auto"/>
            <w:noWrap/>
            <w:vAlign w:val="center"/>
            <w:hideMark/>
          </w:tcPr>
          <w:p w:rsidR="00B46CAF" w:rsidRPr="008F22EB" w:rsidRDefault="00B46CAF" w:rsidP="003A67F1">
            <w:pPr>
              <w:widowControl/>
              <w:jc w:val="center"/>
              <w:rPr>
                <w:rFonts w:ascii="宋体" w:eastAsia="宋体" w:hAnsi="宋体" w:cs="宋体"/>
                <w:b/>
                <w:bCs/>
                <w:color w:val="000000"/>
                <w:kern w:val="0"/>
                <w:szCs w:val="21"/>
              </w:rPr>
            </w:pPr>
            <w:r w:rsidRPr="008F22EB">
              <w:rPr>
                <w:rFonts w:ascii="宋体" w:eastAsia="宋体" w:hAnsi="宋体" w:cs="宋体" w:hint="eastAsia"/>
                <w:b/>
                <w:bCs/>
                <w:color w:val="000000"/>
                <w:kern w:val="0"/>
                <w:szCs w:val="21"/>
              </w:rPr>
              <w:t>南京</w:t>
            </w:r>
          </w:p>
        </w:tc>
        <w:tc>
          <w:tcPr>
            <w:tcW w:w="523" w:type="pct"/>
            <w:tcBorders>
              <w:top w:val="nil"/>
              <w:left w:val="nil"/>
              <w:bottom w:val="single" w:sz="8" w:space="0" w:color="auto"/>
              <w:right w:val="single" w:sz="8" w:space="0" w:color="auto"/>
            </w:tcBorders>
            <w:shd w:val="clear" w:color="auto" w:fill="auto"/>
            <w:noWrap/>
            <w:vAlign w:val="bottom"/>
            <w:hideMark/>
          </w:tcPr>
          <w:p w:rsidR="00B46CAF" w:rsidRDefault="00B46CAF">
            <w:pPr>
              <w:jc w:val="center"/>
              <w:rPr>
                <w:rFonts w:ascii="Times New Roman" w:eastAsia="宋体" w:hAnsi="Times New Roman" w:cs="Times New Roman"/>
                <w:color w:val="000000"/>
                <w:sz w:val="22"/>
              </w:rPr>
            </w:pPr>
            <w:r>
              <w:rPr>
                <w:rFonts w:ascii="Times New Roman" w:hAnsi="Times New Roman" w:cs="Times New Roman"/>
                <w:color w:val="000000"/>
                <w:sz w:val="22"/>
              </w:rPr>
              <w:t>6</w:t>
            </w:r>
          </w:p>
        </w:tc>
        <w:tc>
          <w:tcPr>
            <w:tcW w:w="588" w:type="pct"/>
            <w:tcBorders>
              <w:top w:val="nil"/>
              <w:left w:val="nil"/>
              <w:bottom w:val="single" w:sz="8" w:space="0" w:color="auto"/>
              <w:right w:val="single" w:sz="8" w:space="0" w:color="auto"/>
            </w:tcBorders>
            <w:shd w:val="clear" w:color="auto" w:fill="auto"/>
            <w:noWrap/>
            <w:vAlign w:val="bottom"/>
            <w:hideMark/>
          </w:tcPr>
          <w:p w:rsidR="00B46CAF" w:rsidRDefault="00B46CAF">
            <w:pPr>
              <w:jc w:val="center"/>
              <w:rPr>
                <w:rFonts w:ascii="Times New Roman" w:eastAsia="宋体" w:hAnsi="Times New Roman" w:cs="Times New Roman"/>
                <w:color w:val="000000"/>
                <w:sz w:val="22"/>
              </w:rPr>
            </w:pPr>
            <w:r>
              <w:rPr>
                <w:rFonts w:ascii="Times New Roman" w:hAnsi="Times New Roman" w:cs="Times New Roman"/>
                <w:color w:val="000000"/>
                <w:sz w:val="22"/>
              </w:rPr>
              <w:t>35.29%</w:t>
            </w:r>
          </w:p>
        </w:tc>
        <w:tc>
          <w:tcPr>
            <w:tcW w:w="523" w:type="pct"/>
            <w:tcBorders>
              <w:top w:val="nil"/>
              <w:left w:val="nil"/>
              <w:bottom w:val="single" w:sz="8" w:space="0" w:color="auto"/>
              <w:right w:val="single" w:sz="8" w:space="0" w:color="auto"/>
            </w:tcBorders>
            <w:shd w:val="clear" w:color="auto" w:fill="auto"/>
            <w:noWrap/>
            <w:vAlign w:val="bottom"/>
            <w:hideMark/>
          </w:tcPr>
          <w:p w:rsidR="00B46CAF" w:rsidRDefault="00B46CAF">
            <w:pPr>
              <w:jc w:val="center"/>
              <w:rPr>
                <w:rFonts w:ascii="Times New Roman" w:eastAsia="宋体" w:hAnsi="Times New Roman" w:cs="Times New Roman"/>
                <w:color w:val="000000"/>
                <w:sz w:val="22"/>
              </w:rPr>
            </w:pPr>
            <w:r>
              <w:rPr>
                <w:rFonts w:ascii="Times New Roman" w:hAnsi="Times New Roman" w:cs="Times New Roman"/>
                <w:color w:val="000000"/>
                <w:sz w:val="22"/>
              </w:rPr>
              <w:t>6</w:t>
            </w:r>
          </w:p>
        </w:tc>
        <w:tc>
          <w:tcPr>
            <w:tcW w:w="590" w:type="pct"/>
            <w:tcBorders>
              <w:top w:val="nil"/>
              <w:left w:val="nil"/>
              <w:bottom w:val="single" w:sz="8" w:space="0" w:color="auto"/>
              <w:right w:val="single" w:sz="8" w:space="0" w:color="auto"/>
            </w:tcBorders>
            <w:shd w:val="clear" w:color="auto" w:fill="auto"/>
            <w:noWrap/>
            <w:vAlign w:val="bottom"/>
            <w:hideMark/>
          </w:tcPr>
          <w:p w:rsidR="00B46CAF" w:rsidRDefault="00B46CAF">
            <w:pPr>
              <w:jc w:val="center"/>
              <w:rPr>
                <w:rFonts w:ascii="Times New Roman" w:eastAsia="宋体" w:hAnsi="Times New Roman" w:cs="Times New Roman"/>
                <w:color w:val="000000"/>
                <w:sz w:val="22"/>
              </w:rPr>
            </w:pPr>
            <w:r>
              <w:rPr>
                <w:rFonts w:ascii="Times New Roman" w:hAnsi="Times New Roman" w:cs="Times New Roman"/>
                <w:color w:val="000000"/>
                <w:sz w:val="22"/>
              </w:rPr>
              <w:t>35.29%</w:t>
            </w:r>
          </w:p>
        </w:tc>
        <w:tc>
          <w:tcPr>
            <w:tcW w:w="523" w:type="pct"/>
            <w:tcBorders>
              <w:top w:val="nil"/>
              <w:left w:val="nil"/>
              <w:bottom w:val="single" w:sz="8" w:space="0" w:color="auto"/>
              <w:right w:val="single" w:sz="8" w:space="0" w:color="auto"/>
            </w:tcBorders>
            <w:shd w:val="clear" w:color="auto" w:fill="auto"/>
            <w:noWrap/>
            <w:vAlign w:val="bottom"/>
            <w:hideMark/>
          </w:tcPr>
          <w:p w:rsidR="00B46CAF" w:rsidRDefault="00B46CAF">
            <w:pPr>
              <w:jc w:val="center"/>
              <w:rPr>
                <w:rFonts w:ascii="Times New Roman" w:eastAsia="宋体" w:hAnsi="Times New Roman" w:cs="Times New Roman"/>
                <w:color w:val="000000"/>
                <w:sz w:val="22"/>
              </w:rPr>
            </w:pPr>
            <w:r>
              <w:rPr>
                <w:rFonts w:ascii="Times New Roman" w:hAnsi="Times New Roman" w:cs="Times New Roman"/>
                <w:color w:val="000000"/>
                <w:sz w:val="22"/>
              </w:rPr>
              <w:t>5</w:t>
            </w:r>
          </w:p>
        </w:tc>
        <w:tc>
          <w:tcPr>
            <w:tcW w:w="588" w:type="pct"/>
            <w:tcBorders>
              <w:top w:val="nil"/>
              <w:left w:val="nil"/>
              <w:bottom w:val="single" w:sz="8" w:space="0" w:color="auto"/>
              <w:right w:val="single" w:sz="8" w:space="0" w:color="auto"/>
            </w:tcBorders>
            <w:shd w:val="clear" w:color="auto" w:fill="auto"/>
            <w:noWrap/>
            <w:vAlign w:val="bottom"/>
            <w:hideMark/>
          </w:tcPr>
          <w:p w:rsidR="00B46CAF" w:rsidRDefault="00B46CAF">
            <w:pPr>
              <w:jc w:val="center"/>
              <w:rPr>
                <w:rFonts w:ascii="Times New Roman" w:eastAsia="宋体" w:hAnsi="Times New Roman" w:cs="Times New Roman"/>
                <w:color w:val="000000"/>
                <w:sz w:val="22"/>
              </w:rPr>
            </w:pPr>
            <w:r>
              <w:rPr>
                <w:rFonts w:ascii="Times New Roman" w:hAnsi="Times New Roman" w:cs="Times New Roman"/>
                <w:color w:val="000000"/>
                <w:sz w:val="22"/>
              </w:rPr>
              <w:t>29.41%</w:t>
            </w:r>
          </w:p>
        </w:tc>
        <w:tc>
          <w:tcPr>
            <w:tcW w:w="580" w:type="pct"/>
            <w:tcBorders>
              <w:top w:val="nil"/>
              <w:left w:val="nil"/>
              <w:bottom w:val="single" w:sz="8" w:space="0" w:color="auto"/>
              <w:right w:val="single" w:sz="8" w:space="0" w:color="auto"/>
            </w:tcBorders>
            <w:shd w:val="clear" w:color="auto" w:fill="auto"/>
            <w:noWrap/>
            <w:vAlign w:val="center"/>
            <w:hideMark/>
          </w:tcPr>
          <w:p w:rsidR="00B46CAF" w:rsidRDefault="00B46CAF">
            <w:pPr>
              <w:jc w:val="center"/>
              <w:rPr>
                <w:rFonts w:ascii="Times New Roman" w:eastAsia="宋体" w:hAnsi="Times New Roman" w:cs="Times New Roman"/>
                <w:color w:val="000000"/>
                <w:szCs w:val="21"/>
              </w:rPr>
            </w:pPr>
            <w:r>
              <w:rPr>
                <w:rFonts w:ascii="Times New Roman" w:hAnsi="Times New Roman" w:cs="Times New Roman"/>
                <w:color w:val="000000"/>
                <w:szCs w:val="21"/>
              </w:rPr>
              <w:t>0</w:t>
            </w:r>
          </w:p>
        </w:tc>
        <w:tc>
          <w:tcPr>
            <w:tcW w:w="530" w:type="pct"/>
            <w:tcBorders>
              <w:top w:val="nil"/>
              <w:left w:val="nil"/>
              <w:bottom w:val="single" w:sz="8" w:space="0" w:color="auto"/>
              <w:right w:val="single" w:sz="8" w:space="0" w:color="auto"/>
            </w:tcBorders>
            <w:shd w:val="clear" w:color="auto" w:fill="auto"/>
            <w:noWrap/>
            <w:vAlign w:val="center"/>
            <w:hideMark/>
          </w:tcPr>
          <w:p w:rsidR="00B46CAF" w:rsidRDefault="00B46CAF">
            <w:pPr>
              <w:jc w:val="center"/>
              <w:rPr>
                <w:rFonts w:ascii="Times New Roman" w:eastAsia="宋体" w:hAnsi="Times New Roman" w:cs="Times New Roman"/>
                <w:color w:val="000000"/>
                <w:szCs w:val="21"/>
              </w:rPr>
            </w:pPr>
            <w:r>
              <w:rPr>
                <w:rFonts w:ascii="Times New Roman" w:hAnsi="Times New Roman" w:cs="Times New Roman"/>
                <w:color w:val="000000"/>
                <w:szCs w:val="21"/>
              </w:rPr>
              <w:t>0.00%</w:t>
            </w:r>
          </w:p>
        </w:tc>
      </w:tr>
      <w:tr w:rsidR="00B46CAF" w:rsidRPr="003A67F1" w:rsidTr="00B46CAF">
        <w:trPr>
          <w:trHeight w:val="315"/>
        </w:trPr>
        <w:tc>
          <w:tcPr>
            <w:tcW w:w="556" w:type="pct"/>
            <w:tcBorders>
              <w:top w:val="nil"/>
              <w:left w:val="single" w:sz="8" w:space="0" w:color="auto"/>
              <w:bottom w:val="single" w:sz="8" w:space="0" w:color="auto"/>
              <w:right w:val="single" w:sz="8" w:space="0" w:color="auto"/>
            </w:tcBorders>
            <w:shd w:val="clear" w:color="000000" w:fill="DDD9C4"/>
            <w:noWrap/>
            <w:vAlign w:val="center"/>
            <w:hideMark/>
          </w:tcPr>
          <w:p w:rsidR="00B46CAF" w:rsidRPr="008F22EB" w:rsidRDefault="00B46CAF" w:rsidP="003A67F1">
            <w:pPr>
              <w:widowControl/>
              <w:jc w:val="center"/>
              <w:rPr>
                <w:rFonts w:ascii="宋体" w:eastAsia="宋体" w:hAnsi="宋体" w:cs="宋体"/>
                <w:b/>
                <w:bCs/>
                <w:color w:val="000000"/>
                <w:kern w:val="0"/>
                <w:szCs w:val="21"/>
              </w:rPr>
            </w:pPr>
            <w:r w:rsidRPr="008F22EB">
              <w:rPr>
                <w:rFonts w:ascii="宋体" w:eastAsia="宋体" w:hAnsi="宋体" w:cs="宋体" w:hint="eastAsia"/>
                <w:b/>
                <w:bCs/>
                <w:color w:val="000000"/>
                <w:kern w:val="0"/>
                <w:szCs w:val="21"/>
              </w:rPr>
              <w:t>苏州</w:t>
            </w:r>
          </w:p>
        </w:tc>
        <w:tc>
          <w:tcPr>
            <w:tcW w:w="523" w:type="pct"/>
            <w:tcBorders>
              <w:top w:val="nil"/>
              <w:left w:val="nil"/>
              <w:bottom w:val="single" w:sz="8" w:space="0" w:color="auto"/>
              <w:right w:val="single" w:sz="8" w:space="0" w:color="auto"/>
            </w:tcBorders>
            <w:shd w:val="clear" w:color="000000" w:fill="DDD9C4"/>
            <w:noWrap/>
            <w:vAlign w:val="bottom"/>
            <w:hideMark/>
          </w:tcPr>
          <w:p w:rsidR="00B46CAF" w:rsidRDefault="00B46CAF">
            <w:pPr>
              <w:jc w:val="center"/>
              <w:rPr>
                <w:rFonts w:ascii="Times New Roman" w:eastAsia="宋体" w:hAnsi="Times New Roman" w:cs="Times New Roman"/>
                <w:color w:val="000000"/>
                <w:sz w:val="22"/>
              </w:rPr>
            </w:pPr>
            <w:r>
              <w:rPr>
                <w:rFonts w:ascii="Times New Roman" w:hAnsi="Times New Roman" w:cs="Times New Roman"/>
                <w:color w:val="000000"/>
                <w:sz w:val="22"/>
              </w:rPr>
              <w:t>10</w:t>
            </w:r>
          </w:p>
        </w:tc>
        <w:tc>
          <w:tcPr>
            <w:tcW w:w="588" w:type="pct"/>
            <w:tcBorders>
              <w:top w:val="nil"/>
              <w:left w:val="nil"/>
              <w:bottom w:val="single" w:sz="8" w:space="0" w:color="auto"/>
              <w:right w:val="single" w:sz="8" w:space="0" w:color="auto"/>
            </w:tcBorders>
            <w:shd w:val="clear" w:color="000000" w:fill="DDD9C4"/>
            <w:noWrap/>
            <w:vAlign w:val="bottom"/>
            <w:hideMark/>
          </w:tcPr>
          <w:p w:rsidR="00B46CAF" w:rsidRDefault="00B46CAF">
            <w:pPr>
              <w:jc w:val="center"/>
              <w:rPr>
                <w:rFonts w:ascii="Times New Roman" w:eastAsia="宋体" w:hAnsi="Times New Roman" w:cs="Times New Roman"/>
                <w:color w:val="000000"/>
                <w:sz w:val="22"/>
              </w:rPr>
            </w:pPr>
            <w:r>
              <w:rPr>
                <w:rFonts w:ascii="Times New Roman" w:hAnsi="Times New Roman" w:cs="Times New Roman"/>
                <w:color w:val="000000"/>
                <w:sz w:val="22"/>
              </w:rPr>
              <w:t>37.04%</w:t>
            </w:r>
          </w:p>
        </w:tc>
        <w:tc>
          <w:tcPr>
            <w:tcW w:w="523" w:type="pct"/>
            <w:tcBorders>
              <w:top w:val="nil"/>
              <w:left w:val="nil"/>
              <w:bottom w:val="single" w:sz="8" w:space="0" w:color="auto"/>
              <w:right w:val="single" w:sz="8" w:space="0" w:color="auto"/>
            </w:tcBorders>
            <w:shd w:val="clear" w:color="000000" w:fill="DDD9C4"/>
            <w:noWrap/>
            <w:vAlign w:val="bottom"/>
            <w:hideMark/>
          </w:tcPr>
          <w:p w:rsidR="00B46CAF" w:rsidRDefault="00B46CAF">
            <w:pPr>
              <w:jc w:val="center"/>
              <w:rPr>
                <w:rFonts w:ascii="Times New Roman" w:eastAsia="宋体" w:hAnsi="Times New Roman" w:cs="Times New Roman"/>
                <w:color w:val="000000"/>
                <w:sz w:val="22"/>
              </w:rPr>
            </w:pPr>
            <w:r>
              <w:rPr>
                <w:rFonts w:ascii="Times New Roman" w:hAnsi="Times New Roman" w:cs="Times New Roman"/>
                <w:color w:val="000000"/>
                <w:sz w:val="22"/>
              </w:rPr>
              <w:t>3</w:t>
            </w:r>
          </w:p>
        </w:tc>
        <w:tc>
          <w:tcPr>
            <w:tcW w:w="590" w:type="pct"/>
            <w:tcBorders>
              <w:top w:val="nil"/>
              <w:left w:val="nil"/>
              <w:bottom w:val="single" w:sz="8" w:space="0" w:color="auto"/>
              <w:right w:val="single" w:sz="8" w:space="0" w:color="auto"/>
            </w:tcBorders>
            <w:shd w:val="clear" w:color="000000" w:fill="DDD9C4"/>
            <w:noWrap/>
            <w:vAlign w:val="bottom"/>
            <w:hideMark/>
          </w:tcPr>
          <w:p w:rsidR="00B46CAF" w:rsidRDefault="00B46CAF">
            <w:pPr>
              <w:jc w:val="center"/>
              <w:rPr>
                <w:rFonts w:ascii="Times New Roman" w:eastAsia="宋体" w:hAnsi="Times New Roman" w:cs="Times New Roman"/>
                <w:color w:val="000000"/>
                <w:sz w:val="22"/>
              </w:rPr>
            </w:pPr>
            <w:r>
              <w:rPr>
                <w:rFonts w:ascii="Times New Roman" w:hAnsi="Times New Roman" w:cs="Times New Roman"/>
                <w:color w:val="000000"/>
                <w:sz w:val="22"/>
              </w:rPr>
              <w:t>11.11%</w:t>
            </w:r>
          </w:p>
        </w:tc>
        <w:tc>
          <w:tcPr>
            <w:tcW w:w="523" w:type="pct"/>
            <w:tcBorders>
              <w:top w:val="nil"/>
              <w:left w:val="nil"/>
              <w:bottom w:val="single" w:sz="8" w:space="0" w:color="auto"/>
              <w:right w:val="single" w:sz="8" w:space="0" w:color="auto"/>
            </w:tcBorders>
            <w:shd w:val="clear" w:color="000000" w:fill="DDD9C4"/>
            <w:noWrap/>
            <w:vAlign w:val="bottom"/>
            <w:hideMark/>
          </w:tcPr>
          <w:p w:rsidR="00B46CAF" w:rsidRDefault="00B46CAF">
            <w:pPr>
              <w:jc w:val="center"/>
              <w:rPr>
                <w:rFonts w:ascii="Times New Roman" w:eastAsia="宋体" w:hAnsi="Times New Roman" w:cs="Times New Roman"/>
                <w:color w:val="000000"/>
                <w:sz w:val="22"/>
              </w:rPr>
            </w:pPr>
            <w:r>
              <w:rPr>
                <w:rFonts w:ascii="Times New Roman" w:hAnsi="Times New Roman" w:cs="Times New Roman"/>
                <w:color w:val="000000"/>
                <w:sz w:val="22"/>
              </w:rPr>
              <w:t>14</w:t>
            </w:r>
          </w:p>
        </w:tc>
        <w:tc>
          <w:tcPr>
            <w:tcW w:w="588" w:type="pct"/>
            <w:tcBorders>
              <w:top w:val="nil"/>
              <w:left w:val="nil"/>
              <w:bottom w:val="single" w:sz="8" w:space="0" w:color="auto"/>
              <w:right w:val="single" w:sz="8" w:space="0" w:color="auto"/>
            </w:tcBorders>
            <w:shd w:val="clear" w:color="000000" w:fill="DDD9C4"/>
            <w:noWrap/>
            <w:vAlign w:val="bottom"/>
            <w:hideMark/>
          </w:tcPr>
          <w:p w:rsidR="00B46CAF" w:rsidRDefault="00B46CAF">
            <w:pPr>
              <w:jc w:val="center"/>
              <w:rPr>
                <w:rFonts w:ascii="Times New Roman" w:eastAsia="宋体" w:hAnsi="Times New Roman" w:cs="Times New Roman"/>
                <w:color w:val="000000"/>
                <w:sz w:val="22"/>
              </w:rPr>
            </w:pPr>
            <w:r>
              <w:rPr>
                <w:rFonts w:ascii="Times New Roman" w:hAnsi="Times New Roman" w:cs="Times New Roman"/>
                <w:color w:val="000000"/>
                <w:sz w:val="22"/>
              </w:rPr>
              <w:t>51.85%</w:t>
            </w:r>
          </w:p>
        </w:tc>
        <w:tc>
          <w:tcPr>
            <w:tcW w:w="580" w:type="pct"/>
            <w:tcBorders>
              <w:top w:val="nil"/>
              <w:left w:val="nil"/>
              <w:bottom w:val="single" w:sz="8" w:space="0" w:color="auto"/>
              <w:right w:val="single" w:sz="8" w:space="0" w:color="auto"/>
            </w:tcBorders>
            <w:shd w:val="clear" w:color="000000" w:fill="DDD9C4"/>
            <w:noWrap/>
            <w:vAlign w:val="center"/>
            <w:hideMark/>
          </w:tcPr>
          <w:p w:rsidR="00B46CAF" w:rsidRDefault="00B46CAF">
            <w:pPr>
              <w:jc w:val="center"/>
              <w:rPr>
                <w:rFonts w:ascii="Times New Roman" w:eastAsia="宋体" w:hAnsi="Times New Roman" w:cs="Times New Roman"/>
                <w:color w:val="000000"/>
                <w:szCs w:val="21"/>
              </w:rPr>
            </w:pPr>
            <w:r>
              <w:rPr>
                <w:rFonts w:ascii="Times New Roman" w:hAnsi="Times New Roman" w:cs="Times New Roman"/>
                <w:color w:val="000000"/>
                <w:szCs w:val="21"/>
              </w:rPr>
              <w:t>0</w:t>
            </w:r>
          </w:p>
        </w:tc>
        <w:tc>
          <w:tcPr>
            <w:tcW w:w="530" w:type="pct"/>
            <w:tcBorders>
              <w:top w:val="nil"/>
              <w:left w:val="nil"/>
              <w:bottom w:val="single" w:sz="8" w:space="0" w:color="auto"/>
              <w:right w:val="single" w:sz="8" w:space="0" w:color="auto"/>
            </w:tcBorders>
            <w:shd w:val="clear" w:color="000000" w:fill="DDD9C4"/>
            <w:noWrap/>
            <w:vAlign w:val="center"/>
            <w:hideMark/>
          </w:tcPr>
          <w:p w:rsidR="00B46CAF" w:rsidRDefault="00B46CAF">
            <w:pPr>
              <w:jc w:val="center"/>
              <w:rPr>
                <w:rFonts w:ascii="Times New Roman" w:eastAsia="宋体" w:hAnsi="Times New Roman" w:cs="Times New Roman"/>
                <w:color w:val="000000"/>
                <w:szCs w:val="21"/>
              </w:rPr>
            </w:pPr>
            <w:r>
              <w:rPr>
                <w:rFonts w:ascii="Times New Roman" w:hAnsi="Times New Roman" w:cs="Times New Roman"/>
                <w:color w:val="000000"/>
                <w:szCs w:val="21"/>
              </w:rPr>
              <w:t>0.00%</w:t>
            </w:r>
          </w:p>
        </w:tc>
      </w:tr>
      <w:tr w:rsidR="00B46CAF" w:rsidRPr="003A67F1" w:rsidTr="00B46CAF">
        <w:trPr>
          <w:trHeight w:val="315"/>
        </w:trPr>
        <w:tc>
          <w:tcPr>
            <w:tcW w:w="556" w:type="pct"/>
            <w:tcBorders>
              <w:top w:val="nil"/>
              <w:left w:val="single" w:sz="8" w:space="0" w:color="auto"/>
              <w:bottom w:val="single" w:sz="8" w:space="0" w:color="auto"/>
              <w:right w:val="single" w:sz="8" w:space="0" w:color="auto"/>
            </w:tcBorders>
            <w:shd w:val="clear" w:color="auto" w:fill="auto"/>
            <w:noWrap/>
            <w:vAlign w:val="center"/>
            <w:hideMark/>
          </w:tcPr>
          <w:p w:rsidR="00B46CAF" w:rsidRPr="008F22EB" w:rsidRDefault="00B46CAF" w:rsidP="003A67F1">
            <w:pPr>
              <w:widowControl/>
              <w:jc w:val="center"/>
              <w:rPr>
                <w:rFonts w:ascii="宋体" w:eastAsia="宋体" w:hAnsi="宋体" w:cs="宋体"/>
                <w:b/>
                <w:bCs/>
                <w:color w:val="000000"/>
                <w:kern w:val="0"/>
                <w:szCs w:val="21"/>
              </w:rPr>
            </w:pPr>
            <w:r w:rsidRPr="008F22EB">
              <w:rPr>
                <w:rFonts w:ascii="宋体" w:eastAsia="宋体" w:hAnsi="宋体" w:cs="宋体" w:hint="eastAsia"/>
                <w:b/>
                <w:bCs/>
                <w:color w:val="000000"/>
                <w:kern w:val="0"/>
                <w:szCs w:val="21"/>
              </w:rPr>
              <w:t>无锡</w:t>
            </w:r>
          </w:p>
        </w:tc>
        <w:tc>
          <w:tcPr>
            <w:tcW w:w="523" w:type="pct"/>
            <w:tcBorders>
              <w:top w:val="nil"/>
              <w:left w:val="nil"/>
              <w:bottom w:val="single" w:sz="8" w:space="0" w:color="auto"/>
              <w:right w:val="single" w:sz="8" w:space="0" w:color="auto"/>
            </w:tcBorders>
            <w:shd w:val="clear" w:color="auto" w:fill="auto"/>
            <w:noWrap/>
            <w:vAlign w:val="bottom"/>
            <w:hideMark/>
          </w:tcPr>
          <w:p w:rsidR="00B46CAF" w:rsidRDefault="00B46CAF">
            <w:pPr>
              <w:jc w:val="center"/>
              <w:rPr>
                <w:rFonts w:ascii="Times New Roman" w:eastAsia="宋体" w:hAnsi="Times New Roman" w:cs="Times New Roman"/>
                <w:color w:val="000000"/>
                <w:sz w:val="22"/>
              </w:rPr>
            </w:pPr>
            <w:r>
              <w:rPr>
                <w:rFonts w:ascii="Times New Roman" w:hAnsi="Times New Roman" w:cs="Times New Roman"/>
                <w:color w:val="000000"/>
                <w:sz w:val="22"/>
              </w:rPr>
              <w:t>2</w:t>
            </w:r>
          </w:p>
        </w:tc>
        <w:tc>
          <w:tcPr>
            <w:tcW w:w="588" w:type="pct"/>
            <w:tcBorders>
              <w:top w:val="nil"/>
              <w:left w:val="nil"/>
              <w:bottom w:val="single" w:sz="8" w:space="0" w:color="auto"/>
              <w:right w:val="single" w:sz="8" w:space="0" w:color="auto"/>
            </w:tcBorders>
            <w:shd w:val="clear" w:color="auto" w:fill="auto"/>
            <w:noWrap/>
            <w:vAlign w:val="bottom"/>
            <w:hideMark/>
          </w:tcPr>
          <w:p w:rsidR="00B46CAF" w:rsidRDefault="00B46CAF">
            <w:pPr>
              <w:jc w:val="center"/>
              <w:rPr>
                <w:rFonts w:ascii="Times New Roman" w:eastAsia="宋体" w:hAnsi="Times New Roman" w:cs="Times New Roman"/>
                <w:color w:val="000000"/>
                <w:sz w:val="22"/>
              </w:rPr>
            </w:pPr>
            <w:r>
              <w:rPr>
                <w:rFonts w:ascii="Times New Roman" w:hAnsi="Times New Roman" w:cs="Times New Roman"/>
                <w:color w:val="000000"/>
                <w:sz w:val="22"/>
              </w:rPr>
              <w:t>50.00%</w:t>
            </w:r>
          </w:p>
        </w:tc>
        <w:tc>
          <w:tcPr>
            <w:tcW w:w="523" w:type="pct"/>
            <w:tcBorders>
              <w:top w:val="nil"/>
              <w:left w:val="nil"/>
              <w:bottom w:val="single" w:sz="8" w:space="0" w:color="auto"/>
              <w:right w:val="single" w:sz="8" w:space="0" w:color="auto"/>
            </w:tcBorders>
            <w:shd w:val="clear" w:color="auto" w:fill="auto"/>
            <w:noWrap/>
            <w:vAlign w:val="bottom"/>
            <w:hideMark/>
          </w:tcPr>
          <w:p w:rsidR="00B46CAF" w:rsidRDefault="00B46CAF">
            <w:pPr>
              <w:jc w:val="center"/>
              <w:rPr>
                <w:rFonts w:ascii="Times New Roman" w:eastAsia="宋体" w:hAnsi="Times New Roman" w:cs="Times New Roman"/>
                <w:color w:val="000000"/>
                <w:sz w:val="22"/>
              </w:rPr>
            </w:pPr>
            <w:r>
              <w:rPr>
                <w:rFonts w:ascii="Times New Roman" w:hAnsi="Times New Roman" w:cs="Times New Roman"/>
                <w:color w:val="000000"/>
                <w:sz w:val="22"/>
              </w:rPr>
              <w:t>0</w:t>
            </w:r>
          </w:p>
        </w:tc>
        <w:tc>
          <w:tcPr>
            <w:tcW w:w="590" w:type="pct"/>
            <w:tcBorders>
              <w:top w:val="nil"/>
              <w:left w:val="nil"/>
              <w:bottom w:val="single" w:sz="8" w:space="0" w:color="auto"/>
              <w:right w:val="single" w:sz="8" w:space="0" w:color="auto"/>
            </w:tcBorders>
            <w:shd w:val="clear" w:color="auto" w:fill="auto"/>
            <w:noWrap/>
            <w:vAlign w:val="bottom"/>
            <w:hideMark/>
          </w:tcPr>
          <w:p w:rsidR="00B46CAF" w:rsidRDefault="00B46CAF">
            <w:pPr>
              <w:jc w:val="center"/>
              <w:rPr>
                <w:rFonts w:ascii="Times New Roman" w:eastAsia="宋体" w:hAnsi="Times New Roman" w:cs="Times New Roman"/>
                <w:color w:val="000000"/>
                <w:sz w:val="22"/>
              </w:rPr>
            </w:pPr>
            <w:r>
              <w:rPr>
                <w:rFonts w:ascii="Times New Roman" w:hAnsi="Times New Roman" w:cs="Times New Roman"/>
                <w:color w:val="000000"/>
                <w:sz w:val="22"/>
              </w:rPr>
              <w:t>0.00%</w:t>
            </w:r>
          </w:p>
        </w:tc>
        <w:tc>
          <w:tcPr>
            <w:tcW w:w="523" w:type="pct"/>
            <w:tcBorders>
              <w:top w:val="nil"/>
              <w:left w:val="nil"/>
              <w:bottom w:val="single" w:sz="8" w:space="0" w:color="auto"/>
              <w:right w:val="single" w:sz="8" w:space="0" w:color="auto"/>
            </w:tcBorders>
            <w:shd w:val="clear" w:color="auto" w:fill="auto"/>
            <w:noWrap/>
            <w:vAlign w:val="bottom"/>
            <w:hideMark/>
          </w:tcPr>
          <w:p w:rsidR="00B46CAF" w:rsidRDefault="00B46CAF">
            <w:pPr>
              <w:jc w:val="center"/>
              <w:rPr>
                <w:rFonts w:ascii="Times New Roman" w:eastAsia="宋体" w:hAnsi="Times New Roman" w:cs="Times New Roman"/>
                <w:color w:val="000000"/>
                <w:sz w:val="22"/>
              </w:rPr>
            </w:pPr>
            <w:r>
              <w:rPr>
                <w:rFonts w:ascii="Times New Roman" w:hAnsi="Times New Roman" w:cs="Times New Roman"/>
                <w:color w:val="000000"/>
                <w:sz w:val="22"/>
              </w:rPr>
              <w:t>2</w:t>
            </w:r>
          </w:p>
        </w:tc>
        <w:tc>
          <w:tcPr>
            <w:tcW w:w="588" w:type="pct"/>
            <w:tcBorders>
              <w:top w:val="nil"/>
              <w:left w:val="nil"/>
              <w:bottom w:val="single" w:sz="8" w:space="0" w:color="auto"/>
              <w:right w:val="single" w:sz="8" w:space="0" w:color="auto"/>
            </w:tcBorders>
            <w:shd w:val="clear" w:color="auto" w:fill="auto"/>
            <w:noWrap/>
            <w:vAlign w:val="bottom"/>
            <w:hideMark/>
          </w:tcPr>
          <w:p w:rsidR="00B46CAF" w:rsidRDefault="00B46CAF">
            <w:pPr>
              <w:jc w:val="center"/>
              <w:rPr>
                <w:rFonts w:ascii="Times New Roman" w:eastAsia="宋体" w:hAnsi="Times New Roman" w:cs="Times New Roman"/>
                <w:color w:val="000000"/>
                <w:sz w:val="22"/>
              </w:rPr>
            </w:pPr>
            <w:r>
              <w:rPr>
                <w:rFonts w:ascii="Times New Roman" w:hAnsi="Times New Roman" w:cs="Times New Roman"/>
                <w:color w:val="000000"/>
                <w:sz w:val="22"/>
              </w:rPr>
              <w:t>50.00%</w:t>
            </w:r>
          </w:p>
        </w:tc>
        <w:tc>
          <w:tcPr>
            <w:tcW w:w="580" w:type="pct"/>
            <w:tcBorders>
              <w:top w:val="nil"/>
              <w:left w:val="nil"/>
              <w:bottom w:val="single" w:sz="8" w:space="0" w:color="auto"/>
              <w:right w:val="single" w:sz="8" w:space="0" w:color="auto"/>
            </w:tcBorders>
            <w:shd w:val="clear" w:color="auto" w:fill="auto"/>
            <w:noWrap/>
            <w:vAlign w:val="center"/>
            <w:hideMark/>
          </w:tcPr>
          <w:p w:rsidR="00B46CAF" w:rsidRDefault="00B46CAF">
            <w:pPr>
              <w:jc w:val="center"/>
              <w:rPr>
                <w:rFonts w:ascii="Times New Roman" w:eastAsia="宋体" w:hAnsi="Times New Roman" w:cs="Times New Roman"/>
                <w:color w:val="000000"/>
                <w:szCs w:val="21"/>
              </w:rPr>
            </w:pPr>
            <w:r>
              <w:rPr>
                <w:rFonts w:ascii="Times New Roman" w:hAnsi="Times New Roman" w:cs="Times New Roman"/>
                <w:color w:val="000000"/>
                <w:szCs w:val="21"/>
              </w:rPr>
              <w:t>0</w:t>
            </w:r>
          </w:p>
        </w:tc>
        <w:tc>
          <w:tcPr>
            <w:tcW w:w="530" w:type="pct"/>
            <w:tcBorders>
              <w:top w:val="nil"/>
              <w:left w:val="nil"/>
              <w:bottom w:val="single" w:sz="8" w:space="0" w:color="auto"/>
              <w:right w:val="single" w:sz="8" w:space="0" w:color="auto"/>
            </w:tcBorders>
            <w:shd w:val="clear" w:color="auto" w:fill="auto"/>
            <w:noWrap/>
            <w:vAlign w:val="center"/>
            <w:hideMark/>
          </w:tcPr>
          <w:p w:rsidR="00B46CAF" w:rsidRDefault="00B46CAF">
            <w:pPr>
              <w:jc w:val="center"/>
              <w:rPr>
                <w:rFonts w:ascii="Times New Roman" w:eastAsia="宋体" w:hAnsi="Times New Roman" w:cs="Times New Roman"/>
                <w:color w:val="000000"/>
                <w:szCs w:val="21"/>
              </w:rPr>
            </w:pPr>
            <w:r>
              <w:rPr>
                <w:rFonts w:ascii="Times New Roman" w:hAnsi="Times New Roman" w:cs="Times New Roman"/>
                <w:color w:val="000000"/>
                <w:szCs w:val="21"/>
              </w:rPr>
              <w:t>0.00%</w:t>
            </w:r>
          </w:p>
        </w:tc>
      </w:tr>
      <w:tr w:rsidR="00B46CAF" w:rsidRPr="003A67F1" w:rsidTr="00B46CAF">
        <w:trPr>
          <w:trHeight w:val="315"/>
        </w:trPr>
        <w:tc>
          <w:tcPr>
            <w:tcW w:w="556" w:type="pct"/>
            <w:tcBorders>
              <w:top w:val="nil"/>
              <w:left w:val="single" w:sz="8" w:space="0" w:color="auto"/>
              <w:bottom w:val="single" w:sz="8" w:space="0" w:color="auto"/>
              <w:right w:val="single" w:sz="8" w:space="0" w:color="auto"/>
            </w:tcBorders>
            <w:shd w:val="clear" w:color="000000" w:fill="DDD9C4"/>
            <w:noWrap/>
            <w:vAlign w:val="center"/>
            <w:hideMark/>
          </w:tcPr>
          <w:p w:rsidR="00B46CAF" w:rsidRPr="008F22EB" w:rsidRDefault="00B46CAF" w:rsidP="003A67F1">
            <w:pPr>
              <w:widowControl/>
              <w:jc w:val="center"/>
              <w:rPr>
                <w:rFonts w:ascii="宋体" w:eastAsia="宋体" w:hAnsi="宋体" w:cs="宋体"/>
                <w:b/>
                <w:bCs/>
                <w:color w:val="000000"/>
                <w:kern w:val="0"/>
                <w:szCs w:val="21"/>
              </w:rPr>
            </w:pPr>
            <w:r w:rsidRPr="008F22EB">
              <w:rPr>
                <w:rFonts w:ascii="宋体" w:eastAsia="宋体" w:hAnsi="宋体" w:cs="宋体" w:hint="eastAsia"/>
                <w:b/>
                <w:bCs/>
                <w:color w:val="000000"/>
                <w:kern w:val="0"/>
                <w:szCs w:val="21"/>
              </w:rPr>
              <w:t>常州</w:t>
            </w:r>
          </w:p>
        </w:tc>
        <w:tc>
          <w:tcPr>
            <w:tcW w:w="523" w:type="pct"/>
            <w:tcBorders>
              <w:top w:val="nil"/>
              <w:left w:val="nil"/>
              <w:bottom w:val="single" w:sz="8" w:space="0" w:color="auto"/>
              <w:right w:val="single" w:sz="8" w:space="0" w:color="auto"/>
            </w:tcBorders>
            <w:shd w:val="clear" w:color="000000" w:fill="DDD9C4"/>
            <w:noWrap/>
            <w:vAlign w:val="bottom"/>
            <w:hideMark/>
          </w:tcPr>
          <w:p w:rsidR="00B46CAF" w:rsidRDefault="00B46CAF">
            <w:pPr>
              <w:jc w:val="center"/>
              <w:rPr>
                <w:rFonts w:ascii="Times New Roman" w:eastAsia="宋体" w:hAnsi="Times New Roman" w:cs="Times New Roman"/>
                <w:color w:val="000000"/>
                <w:sz w:val="22"/>
              </w:rPr>
            </w:pPr>
            <w:r>
              <w:rPr>
                <w:rFonts w:ascii="Times New Roman" w:hAnsi="Times New Roman" w:cs="Times New Roman"/>
                <w:color w:val="000000"/>
                <w:sz w:val="22"/>
              </w:rPr>
              <w:t>2</w:t>
            </w:r>
          </w:p>
        </w:tc>
        <w:tc>
          <w:tcPr>
            <w:tcW w:w="588" w:type="pct"/>
            <w:tcBorders>
              <w:top w:val="nil"/>
              <w:left w:val="nil"/>
              <w:bottom w:val="single" w:sz="8" w:space="0" w:color="auto"/>
              <w:right w:val="single" w:sz="8" w:space="0" w:color="auto"/>
            </w:tcBorders>
            <w:shd w:val="clear" w:color="000000" w:fill="DDD9C4"/>
            <w:noWrap/>
            <w:vAlign w:val="bottom"/>
            <w:hideMark/>
          </w:tcPr>
          <w:p w:rsidR="00B46CAF" w:rsidRDefault="00B46CAF">
            <w:pPr>
              <w:jc w:val="center"/>
              <w:rPr>
                <w:rFonts w:ascii="Times New Roman" w:eastAsia="宋体" w:hAnsi="Times New Roman" w:cs="Times New Roman"/>
                <w:color w:val="000000"/>
                <w:sz w:val="22"/>
              </w:rPr>
            </w:pPr>
            <w:r>
              <w:rPr>
                <w:rFonts w:ascii="Times New Roman" w:hAnsi="Times New Roman" w:cs="Times New Roman"/>
                <w:color w:val="000000"/>
                <w:sz w:val="22"/>
              </w:rPr>
              <w:t>9.09%</w:t>
            </w:r>
          </w:p>
        </w:tc>
        <w:tc>
          <w:tcPr>
            <w:tcW w:w="523" w:type="pct"/>
            <w:tcBorders>
              <w:top w:val="nil"/>
              <w:left w:val="nil"/>
              <w:bottom w:val="single" w:sz="8" w:space="0" w:color="auto"/>
              <w:right w:val="single" w:sz="8" w:space="0" w:color="auto"/>
            </w:tcBorders>
            <w:shd w:val="clear" w:color="000000" w:fill="DDD9C4"/>
            <w:noWrap/>
            <w:vAlign w:val="bottom"/>
            <w:hideMark/>
          </w:tcPr>
          <w:p w:rsidR="00B46CAF" w:rsidRDefault="00B46CAF">
            <w:pPr>
              <w:jc w:val="center"/>
              <w:rPr>
                <w:rFonts w:ascii="Times New Roman" w:eastAsia="宋体" w:hAnsi="Times New Roman" w:cs="Times New Roman"/>
                <w:color w:val="000000"/>
                <w:sz w:val="22"/>
              </w:rPr>
            </w:pPr>
            <w:r>
              <w:rPr>
                <w:rFonts w:ascii="Times New Roman" w:hAnsi="Times New Roman" w:cs="Times New Roman"/>
                <w:color w:val="000000"/>
                <w:sz w:val="22"/>
              </w:rPr>
              <w:t>15</w:t>
            </w:r>
          </w:p>
        </w:tc>
        <w:tc>
          <w:tcPr>
            <w:tcW w:w="590" w:type="pct"/>
            <w:tcBorders>
              <w:top w:val="nil"/>
              <w:left w:val="nil"/>
              <w:bottom w:val="single" w:sz="8" w:space="0" w:color="auto"/>
              <w:right w:val="single" w:sz="8" w:space="0" w:color="auto"/>
            </w:tcBorders>
            <w:shd w:val="clear" w:color="000000" w:fill="DDD9C4"/>
            <w:noWrap/>
            <w:vAlign w:val="bottom"/>
            <w:hideMark/>
          </w:tcPr>
          <w:p w:rsidR="00B46CAF" w:rsidRDefault="00B46CAF">
            <w:pPr>
              <w:jc w:val="center"/>
              <w:rPr>
                <w:rFonts w:ascii="Times New Roman" w:eastAsia="宋体" w:hAnsi="Times New Roman" w:cs="Times New Roman"/>
                <w:color w:val="000000"/>
                <w:sz w:val="22"/>
              </w:rPr>
            </w:pPr>
            <w:r>
              <w:rPr>
                <w:rFonts w:ascii="Times New Roman" w:hAnsi="Times New Roman" w:cs="Times New Roman"/>
                <w:color w:val="000000"/>
                <w:sz w:val="22"/>
              </w:rPr>
              <w:t>68.18%</w:t>
            </w:r>
          </w:p>
        </w:tc>
        <w:tc>
          <w:tcPr>
            <w:tcW w:w="523" w:type="pct"/>
            <w:tcBorders>
              <w:top w:val="nil"/>
              <w:left w:val="nil"/>
              <w:bottom w:val="single" w:sz="8" w:space="0" w:color="auto"/>
              <w:right w:val="single" w:sz="8" w:space="0" w:color="auto"/>
            </w:tcBorders>
            <w:shd w:val="clear" w:color="000000" w:fill="DDD9C4"/>
            <w:noWrap/>
            <w:vAlign w:val="bottom"/>
            <w:hideMark/>
          </w:tcPr>
          <w:p w:rsidR="00B46CAF" w:rsidRDefault="00B46CAF">
            <w:pPr>
              <w:jc w:val="center"/>
              <w:rPr>
                <w:rFonts w:ascii="Times New Roman" w:eastAsia="宋体" w:hAnsi="Times New Roman" w:cs="Times New Roman"/>
                <w:color w:val="000000"/>
                <w:sz w:val="22"/>
              </w:rPr>
            </w:pPr>
            <w:r>
              <w:rPr>
                <w:rFonts w:ascii="Times New Roman" w:hAnsi="Times New Roman" w:cs="Times New Roman"/>
                <w:color w:val="000000"/>
                <w:sz w:val="22"/>
              </w:rPr>
              <w:t>5</w:t>
            </w:r>
          </w:p>
        </w:tc>
        <w:tc>
          <w:tcPr>
            <w:tcW w:w="588" w:type="pct"/>
            <w:tcBorders>
              <w:top w:val="nil"/>
              <w:left w:val="nil"/>
              <w:bottom w:val="single" w:sz="8" w:space="0" w:color="auto"/>
              <w:right w:val="single" w:sz="8" w:space="0" w:color="auto"/>
            </w:tcBorders>
            <w:shd w:val="clear" w:color="000000" w:fill="DDD9C4"/>
            <w:noWrap/>
            <w:vAlign w:val="bottom"/>
            <w:hideMark/>
          </w:tcPr>
          <w:p w:rsidR="00B46CAF" w:rsidRDefault="00B46CAF">
            <w:pPr>
              <w:jc w:val="center"/>
              <w:rPr>
                <w:rFonts w:ascii="Times New Roman" w:eastAsia="宋体" w:hAnsi="Times New Roman" w:cs="Times New Roman"/>
                <w:color w:val="000000"/>
                <w:sz w:val="22"/>
              </w:rPr>
            </w:pPr>
            <w:r>
              <w:rPr>
                <w:rFonts w:ascii="Times New Roman" w:hAnsi="Times New Roman" w:cs="Times New Roman"/>
                <w:color w:val="000000"/>
                <w:sz w:val="22"/>
              </w:rPr>
              <w:t>22.73%</w:t>
            </w:r>
          </w:p>
        </w:tc>
        <w:tc>
          <w:tcPr>
            <w:tcW w:w="580" w:type="pct"/>
            <w:tcBorders>
              <w:top w:val="nil"/>
              <w:left w:val="nil"/>
              <w:bottom w:val="single" w:sz="8" w:space="0" w:color="auto"/>
              <w:right w:val="single" w:sz="8" w:space="0" w:color="auto"/>
            </w:tcBorders>
            <w:shd w:val="clear" w:color="000000" w:fill="DDD9C4"/>
            <w:noWrap/>
            <w:vAlign w:val="center"/>
            <w:hideMark/>
          </w:tcPr>
          <w:p w:rsidR="00B46CAF" w:rsidRDefault="00B46CAF">
            <w:pPr>
              <w:jc w:val="center"/>
              <w:rPr>
                <w:rFonts w:ascii="Times New Roman" w:eastAsia="宋体" w:hAnsi="Times New Roman" w:cs="Times New Roman"/>
                <w:color w:val="000000"/>
                <w:szCs w:val="21"/>
              </w:rPr>
            </w:pPr>
            <w:r>
              <w:rPr>
                <w:rFonts w:ascii="Times New Roman" w:hAnsi="Times New Roman" w:cs="Times New Roman"/>
                <w:color w:val="000000"/>
                <w:szCs w:val="21"/>
              </w:rPr>
              <w:t>0</w:t>
            </w:r>
          </w:p>
        </w:tc>
        <w:tc>
          <w:tcPr>
            <w:tcW w:w="530" w:type="pct"/>
            <w:tcBorders>
              <w:top w:val="nil"/>
              <w:left w:val="nil"/>
              <w:bottom w:val="single" w:sz="8" w:space="0" w:color="auto"/>
              <w:right w:val="single" w:sz="8" w:space="0" w:color="auto"/>
            </w:tcBorders>
            <w:shd w:val="clear" w:color="000000" w:fill="DDD9C4"/>
            <w:noWrap/>
            <w:vAlign w:val="center"/>
            <w:hideMark/>
          </w:tcPr>
          <w:p w:rsidR="00B46CAF" w:rsidRDefault="00B46CAF">
            <w:pPr>
              <w:jc w:val="center"/>
              <w:rPr>
                <w:rFonts w:ascii="Times New Roman" w:eastAsia="宋体" w:hAnsi="Times New Roman" w:cs="Times New Roman"/>
                <w:color w:val="000000"/>
                <w:szCs w:val="21"/>
              </w:rPr>
            </w:pPr>
            <w:r>
              <w:rPr>
                <w:rFonts w:ascii="Times New Roman" w:hAnsi="Times New Roman" w:cs="Times New Roman"/>
                <w:color w:val="000000"/>
                <w:szCs w:val="21"/>
              </w:rPr>
              <w:t>0.00%</w:t>
            </w:r>
          </w:p>
        </w:tc>
      </w:tr>
      <w:tr w:rsidR="00B46CAF" w:rsidRPr="003A67F1" w:rsidTr="00B46CAF">
        <w:trPr>
          <w:trHeight w:val="315"/>
        </w:trPr>
        <w:tc>
          <w:tcPr>
            <w:tcW w:w="556" w:type="pct"/>
            <w:tcBorders>
              <w:top w:val="nil"/>
              <w:left w:val="single" w:sz="8" w:space="0" w:color="auto"/>
              <w:bottom w:val="single" w:sz="8" w:space="0" w:color="auto"/>
              <w:right w:val="single" w:sz="8" w:space="0" w:color="auto"/>
            </w:tcBorders>
            <w:shd w:val="clear" w:color="auto" w:fill="auto"/>
            <w:noWrap/>
            <w:vAlign w:val="center"/>
            <w:hideMark/>
          </w:tcPr>
          <w:p w:rsidR="00B46CAF" w:rsidRPr="008F22EB" w:rsidRDefault="00B46CAF" w:rsidP="003A67F1">
            <w:pPr>
              <w:widowControl/>
              <w:jc w:val="center"/>
              <w:rPr>
                <w:rFonts w:ascii="宋体" w:eastAsia="宋体" w:hAnsi="宋体" w:cs="宋体"/>
                <w:b/>
                <w:bCs/>
                <w:color w:val="000000"/>
                <w:kern w:val="0"/>
                <w:szCs w:val="21"/>
              </w:rPr>
            </w:pPr>
            <w:r w:rsidRPr="008F22EB">
              <w:rPr>
                <w:rFonts w:ascii="宋体" w:eastAsia="宋体" w:hAnsi="宋体" w:cs="宋体" w:hint="eastAsia"/>
                <w:b/>
                <w:bCs/>
                <w:color w:val="000000"/>
                <w:kern w:val="0"/>
                <w:szCs w:val="21"/>
              </w:rPr>
              <w:t>镇江</w:t>
            </w:r>
          </w:p>
        </w:tc>
        <w:tc>
          <w:tcPr>
            <w:tcW w:w="523" w:type="pct"/>
            <w:tcBorders>
              <w:top w:val="nil"/>
              <w:left w:val="nil"/>
              <w:bottom w:val="single" w:sz="8" w:space="0" w:color="auto"/>
              <w:right w:val="single" w:sz="8" w:space="0" w:color="auto"/>
            </w:tcBorders>
            <w:shd w:val="clear" w:color="auto" w:fill="auto"/>
            <w:noWrap/>
            <w:vAlign w:val="bottom"/>
            <w:hideMark/>
          </w:tcPr>
          <w:p w:rsidR="00B46CAF" w:rsidRDefault="00B46CAF">
            <w:pPr>
              <w:jc w:val="center"/>
              <w:rPr>
                <w:rFonts w:ascii="Times New Roman" w:eastAsia="宋体" w:hAnsi="Times New Roman" w:cs="Times New Roman"/>
                <w:color w:val="000000"/>
                <w:sz w:val="22"/>
              </w:rPr>
            </w:pPr>
            <w:r>
              <w:rPr>
                <w:rFonts w:ascii="Times New Roman" w:hAnsi="Times New Roman" w:cs="Times New Roman"/>
                <w:color w:val="000000"/>
                <w:sz w:val="22"/>
              </w:rPr>
              <w:t>0</w:t>
            </w:r>
          </w:p>
        </w:tc>
        <w:tc>
          <w:tcPr>
            <w:tcW w:w="588" w:type="pct"/>
            <w:tcBorders>
              <w:top w:val="nil"/>
              <w:left w:val="nil"/>
              <w:bottom w:val="single" w:sz="8" w:space="0" w:color="auto"/>
              <w:right w:val="single" w:sz="8" w:space="0" w:color="auto"/>
            </w:tcBorders>
            <w:shd w:val="clear" w:color="auto" w:fill="auto"/>
            <w:noWrap/>
            <w:vAlign w:val="bottom"/>
            <w:hideMark/>
          </w:tcPr>
          <w:p w:rsidR="00B46CAF" w:rsidRDefault="00B46CAF">
            <w:pPr>
              <w:jc w:val="center"/>
              <w:rPr>
                <w:rFonts w:ascii="Times New Roman" w:eastAsia="宋体" w:hAnsi="Times New Roman" w:cs="Times New Roman"/>
                <w:color w:val="000000"/>
                <w:sz w:val="22"/>
              </w:rPr>
            </w:pPr>
            <w:r>
              <w:rPr>
                <w:rFonts w:ascii="Times New Roman" w:hAnsi="Times New Roman" w:cs="Times New Roman"/>
                <w:color w:val="000000"/>
                <w:sz w:val="22"/>
              </w:rPr>
              <w:t>0.00%</w:t>
            </w:r>
          </w:p>
        </w:tc>
        <w:tc>
          <w:tcPr>
            <w:tcW w:w="523" w:type="pct"/>
            <w:tcBorders>
              <w:top w:val="nil"/>
              <w:left w:val="nil"/>
              <w:bottom w:val="single" w:sz="8" w:space="0" w:color="auto"/>
              <w:right w:val="single" w:sz="8" w:space="0" w:color="auto"/>
            </w:tcBorders>
            <w:shd w:val="clear" w:color="auto" w:fill="auto"/>
            <w:noWrap/>
            <w:vAlign w:val="bottom"/>
            <w:hideMark/>
          </w:tcPr>
          <w:p w:rsidR="00B46CAF" w:rsidRDefault="00B46CAF">
            <w:pPr>
              <w:jc w:val="center"/>
              <w:rPr>
                <w:rFonts w:ascii="Times New Roman" w:eastAsia="宋体" w:hAnsi="Times New Roman" w:cs="Times New Roman"/>
                <w:color w:val="000000"/>
                <w:sz w:val="22"/>
              </w:rPr>
            </w:pPr>
            <w:r>
              <w:rPr>
                <w:rFonts w:ascii="Times New Roman" w:hAnsi="Times New Roman" w:cs="Times New Roman"/>
                <w:color w:val="000000"/>
                <w:sz w:val="22"/>
              </w:rPr>
              <w:t>2</w:t>
            </w:r>
          </w:p>
        </w:tc>
        <w:tc>
          <w:tcPr>
            <w:tcW w:w="590" w:type="pct"/>
            <w:tcBorders>
              <w:top w:val="nil"/>
              <w:left w:val="nil"/>
              <w:bottom w:val="single" w:sz="8" w:space="0" w:color="auto"/>
              <w:right w:val="single" w:sz="8" w:space="0" w:color="auto"/>
            </w:tcBorders>
            <w:shd w:val="clear" w:color="auto" w:fill="auto"/>
            <w:noWrap/>
            <w:vAlign w:val="bottom"/>
            <w:hideMark/>
          </w:tcPr>
          <w:p w:rsidR="00B46CAF" w:rsidRDefault="00B46CAF">
            <w:pPr>
              <w:jc w:val="center"/>
              <w:rPr>
                <w:rFonts w:ascii="Times New Roman" w:eastAsia="宋体" w:hAnsi="Times New Roman" w:cs="Times New Roman"/>
                <w:color w:val="000000"/>
                <w:sz w:val="22"/>
              </w:rPr>
            </w:pPr>
            <w:r>
              <w:rPr>
                <w:rFonts w:ascii="Times New Roman" w:hAnsi="Times New Roman" w:cs="Times New Roman"/>
                <w:color w:val="000000"/>
                <w:sz w:val="22"/>
              </w:rPr>
              <w:t>66.67%</w:t>
            </w:r>
          </w:p>
        </w:tc>
        <w:tc>
          <w:tcPr>
            <w:tcW w:w="523" w:type="pct"/>
            <w:tcBorders>
              <w:top w:val="nil"/>
              <w:left w:val="nil"/>
              <w:bottom w:val="single" w:sz="8" w:space="0" w:color="auto"/>
              <w:right w:val="single" w:sz="8" w:space="0" w:color="auto"/>
            </w:tcBorders>
            <w:shd w:val="clear" w:color="auto" w:fill="auto"/>
            <w:noWrap/>
            <w:vAlign w:val="bottom"/>
            <w:hideMark/>
          </w:tcPr>
          <w:p w:rsidR="00B46CAF" w:rsidRDefault="00B46CAF">
            <w:pPr>
              <w:jc w:val="center"/>
              <w:rPr>
                <w:rFonts w:ascii="Times New Roman" w:eastAsia="宋体" w:hAnsi="Times New Roman" w:cs="Times New Roman"/>
                <w:color w:val="000000"/>
                <w:sz w:val="22"/>
              </w:rPr>
            </w:pPr>
            <w:r>
              <w:rPr>
                <w:rFonts w:ascii="Times New Roman" w:hAnsi="Times New Roman" w:cs="Times New Roman"/>
                <w:color w:val="000000"/>
                <w:sz w:val="22"/>
              </w:rPr>
              <w:t>0</w:t>
            </w:r>
          </w:p>
        </w:tc>
        <w:tc>
          <w:tcPr>
            <w:tcW w:w="588" w:type="pct"/>
            <w:tcBorders>
              <w:top w:val="nil"/>
              <w:left w:val="nil"/>
              <w:bottom w:val="single" w:sz="8" w:space="0" w:color="auto"/>
              <w:right w:val="single" w:sz="8" w:space="0" w:color="auto"/>
            </w:tcBorders>
            <w:shd w:val="clear" w:color="auto" w:fill="auto"/>
            <w:noWrap/>
            <w:vAlign w:val="bottom"/>
            <w:hideMark/>
          </w:tcPr>
          <w:p w:rsidR="00B46CAF" w:rsidRDefault="00B46CAF">
            <w:pPr>
              <w:jc w:val="center"/>
              <w:rPr>
                <w:rFonts w:ascii="Times New Roman" w:eastAsia="宋体" w:hAnsi="Times New Roman" w:cs="Times New Roman"/>
                <w:color w:val="000000"/>
                <w:sz w:val="22"/>
              </w:rPr>
            </w:pPr>
            <w:r>
              <w:rPr>
                <w:rFonts w:ascii="Times New Roman" w:hAnsi="Times New Roman" w:cs="Times New Roman"/>
                <w:color w:val="000000"/>
                <w:sz w:val="22"/>
              </w:rPr>
              <w:t>0.00%</w:t>
            </w:r>
          </w:p>
        </w:tc>
        <w:tc>
          <w:tcPr>
            <w:tcW w:w="580" w:type="pct"/>
            <w:tcBorders>
              <w:top w:val="nil"/>
              <w:left w:val="nil"/>
              <w:bottom w:val="single" w:sz="8" w:space="0" w:color="auto"/>
              <w:right w:val="single" w:sz="8" w:space="0" w:color="auto"/>
            </w:tcBorders>
            <w:shd w:val="clear" w:color="auto" w:fill="auto"/>
            <w:noWrap/>
            <w:vAlign w:val="center"/>
            <w:hideMark/>
          </w:tcPr>
          <w:p w:rsidR="00B46CAF" w:rsidRDefault="00B46CAF">
            <w:pPr>
              <w:jc w:val="center"/>
              <w:rPr>
                <w:rFonts w:ascii="Times New Roman" w:eastAsia="宋体" w:hAnsi="Times New Roman" w:cs="Times New Roman"/>
                <w:color w:val="000000"/>
                <w:szCs w:val="21"/>
              </w:rPr>
            </w:pPr>
            <w:r>
              <w:rPr>
                <w:rFonts w:ascii="Times New Roman" w:hAnsi="Times New Roman" w:cs="Times New Roman"/>
                <w:color w:val="000000"/>
                <w:szCs w:val="21"/>
              </w:rPr>
              <w:t>1</w:t>
            </w:r>
          </w:p>
        </w:tc>
        <w:tc>
          <w:tcPr>
            <w:tcW w:w="530" w:type="pct"/>
            <w:tcBorders>
              <w:top w:val="nil"/>
              <w:left w:val="nil"/>
              <w:bottom w:val="single" w:sz="8" w:space="0" w:color="auto"/>
              <w:right w:val="single" w:sz="8" w:space="0" w:color="auto"/>
            </w:tcBorders>
            <w:shd w:val="clear" w:color="auto" w:fill="auto"/>
            <w:noWrap/>
            <w:vAlign w:val="center"/>
            <w:hideMark/>
          </w:tcPr>
          <w:p w:rsidR="00B46CAF" w:rsidRDefault="00B46CAF">
            <w:pPr>
              <w:jc w:val="center"/>
              <w:rPr>
                <w:rFonts w:ascii="Times New Roman" w:eastAsia="宋体" w:hAnsi="Times New Roman" w:cs="Times New Roman"/>
                <w:color w:val="000000"/>
                <w:szCs w:val="21"/>
              </w:rPr>
            </w:pPr>
            <w:r>
              <w:rPr>
                <w:rFonts w:ascii="Times New Roman" w:hAnsi="Times New Roman" w:cs="Times New Roman"/>
                <w:color w:val="000000"/>
                <w:szCs w:val="21"/>
              </w:rPr>
              <w:t>33.33%</w:t>
            </w:r>
          </w:p>
        </w:tc>
      </w:tr>
      <w:tr w:rsidR="00B46CAF" w:rsidRPr="003A67F1" w:rsidTr="00B46CAF">
        <w:trPr>
          <w:trHeight w:val="300"/>
        </w:trPr>
        <w:tc>
          <w:tcPr>
            <w:tcW w:w="556" w:type="pct"/>
            <w:tcBorders>
              <w:top w:val="nil"/>
              <w:left w:val="single" w:sz="8" w:space="0" w:color="auto"/>
              <w:bottom w:val="single" w:sz="8" w:space="0" w:color="auto"/>
              <w:right w:val="single" w:sz="8" w:space="0" w:color="auto"/>
            </w:tcBorders>
            <w:shd w:val="clear" w:color="000000" w:fill="948A54"/>
            <w:noWrap/>
            <w:vAlign w:val="center"/>
            <w:hideMark/>
          </w:tcPr>
          <w:p w:rsidR="00B46CAF" w:rsidRPr="008F22EB" w:rsidRDefault="00B46CAF" w:rsidP="003A67F1">
            <w:pPr>
              <w:widowControl/>
              <w:jc w:val="center"/>
              <w:rPr>
                <w:rFonts w:ascii="宋体" w:eastAsia="宋体" w:hAnsi="宋体" w:cs="宋体"/>
                <w:b/>
                <w:bCs/>
                <w:color w:val="000000"/>
                <w:kern w:val="0"/>
                <w:szCs w:val="21"/>
              </w:rPr>
            </w:pPr>
            <w:r w:rsidRPr="008F22EB">
              <w:rPr>
                <w:rFonts w:ascii="宋体" w:eastAsia="宋体" w:hAnsi="宋体" w:cs="宋体" w:hint="eastAsia"/>
                <w:b/>
                <w:bCs/>
                <w:color w:val="000000"/>
                <w:kern w:val="0"/>
                <w:szCs w:val="21"/>
              </w:rPr>
              <w:t>总计</w:t>
            </w:r>
          </w:p>
        </w:tc>
        <w:tc>
          <w:tcPr>
            <w:tcW w:w="523" w:type="pct"/>
            <w:tcBorders>
              <w:top w:val="nil"/>
              <w:left w:val="nil"/>
              <w:bottom w:val="single" w:sz="8" w:space="0" w:color="auto"/>
              <w:right w:val="single" w:sz="8" w:space="0" w:color="auto"/>
            </w:tcBorders>
            <w:shd w:val="clear" w:color="000000" w:fill="948A54"/>
            <w:noWrap/>
            <w:vAlign w:val="bottom"/>
            <w:hideMark/>
          </w:tcPr>
          <w:p w:rsidR="00B46CAF" w:rsidRDefault="00B46CAF">
            <w:pPr>
              <w:jc w:val="center"/>
              <w:rPr>
                <w:rFonts w:ascii="Times New Roman" w:eastAsia="宋体" w:hAnsi="Times New Roman" w:cs="Times New Roman"/>
                <w:b/>
                <w:bCs/>
                <w:color w:val="000000"/>
                <w:sz w:val="22"/>
              </w:rPr>
            </w:pPr>
            <w:r>
              <w:rPr>
                <w:rFonts w:ascii="Times New Roman" w:hAnsi="Times New Roman" w:cs="Times New Roman"/>
                <w:b/>
                <w:bCs/>
                <w:color w:val="000000"/>
                <w:sz w:val="22"/>
              </w:rPr>
              <w:t>20</w:t>
            </w:r>
          </w:p>
        </w:tc>
        <w:tc>
          <w:tcPr>
            <w:tcW w:w="588" w:type="pct"/>
            <w:tcBorders>
              <w:top w:val="nil"/>
              <w:left w:val="nil"/>
              <w:bottom w:val="single" w:sz="8" w:space="0" w:color="auto"/>
              <w:right w:val="single" w:sz="8" w:space="0" w:color="auto"/>
            </w:tcBorders>
            <w:shd w:val="clear" w:color="000000" w:fill="948A54"/>
            <w:noWrap/>
            <w:vAlign w:val="bottom"/>
            <w:hideMark/>
          </w:tcPr>
          <w:p w:rsidR="00B46CAF" w:rsidRDefault="00B46CAF">
            <w:pPr>
              <w:jc w:val="center"/>
              <w:rPr>
                <w:rFonts w:ascii="Times New Roman" w:eastAsia="宋体" w:hAnsi="Times New Roman" w:cs="Times New Roman"/>
                <w:b/>
                <w:bCs/>
                <w:color w:val="000000"/>
                <w:sz w:val="22"/>
              </w:rPr>
            </w:pPr>
            <w:r>
              <w:rPr>
                <w:rFonts w:ascii="Times New Roman" w:hAnsi="Times New Roman" w:cs="Times New Roman"/>
                <w:b/>
                <w:bCs/>
                <w:color w:val="000000"/>
                <w:sz w:val="22"/>
              </w:rPr>
              <w:t>27.40%</w:t>
            </w:r>
          </w:p>
        </w:tc>
        <w:tc>
          <w:tcPr>
            <w:tcW w:w="523" w:type="pct"/>
            <w:tcBorders>
              <w:top w:val="nil"/>
              <w:left w:val="nil"/>
              <w:bottom w:val="single" w:sz="8" w:space="0" w:color="auto"/>
              <w:right w:val="single" w:sz="8" w:space="0" w:color="auto"/>
            </w:tcBorders>
            <w:shd w:val="clear" w:color="000000" w:fill="948A54"/>
            <w:noWrap/>
            <w:vAlign w:val="bottom"/>
            <w:hideMark/>
          </w:tcPr>
          <w:p w:rsidR="00B46CAF" w:rsidRDefault="00B46CAF">
            <w:pPr>
              <w:jc w:val="center"/>
              <w:rPr>
                <w:rFonts w:ascii="Times New Roman" w:eastAsia="宋体" w:hAnsi="Times New Roman" w:cs="Times New Roman"/>
                <w:b/>
                <w:bCs/>
                <w:color w:val="000000"/>
                <w:sz w:val="22"/>
              </w:rPr>
            </w:pPr>
            <w:r>
              <w:rPr>
                <w:rFonts w:ascii="Times New Roman" w:hAnsi="Times New Roman" w:cs="Times New Roman"/>
                <w:b/>
                <w:bCs/>
                <w:color w:val="000000"/>
                <w:sz w:val="22"/>
              </w:rPr>
              <w:t>26</w:t>
            </w:r>
          </w:p>
        </w:tc>
        <w:tc>
          <w:tcPr>
            <w:tcW w:w="590" w:type="pct"/>
            <w:tcBorders>
              <w:top w:val="nil"/>
              <w:left w:val="nil"/>
              <w:bottom w:val="single" w:sz="8" w:space="0" w:color="auto"/>
              <w:right w:val="single" w:sz="8" w:space="0" w:color="auto"/>
            </w:tcBorders>
            <w:shd w:val="clear" w:color="000000" w:fill="948A54"/>
            <w:noWrap/>
            <w:vAlign w:val="bottom"/>
            <w:hideMark/>
          </w:tcPr>
          <w:p w:rsidR="00B46CAF" w:rsidRDefault="00B46CAF">
            <w:pPr>
              <w:jc w:val="center"/>
              <w:rPr>
                <w:rFonts w:ascii="Times New Roman" w:eastAsia="宋体" w:hAnsi="Times New Roman" w:cs="Times New Roman"/>
                <w:b/>
                <w:bCs/>
                <w:color w:val="000000"/>
                <w:sz w:val="22"/>
              </w:rPr>
            </w:pPr>
            <w:r>
              <w:rPr>
                <w:rFonts w:ascii="Times New Roman" w:hAnsi="Times New Roman" w:cs="Times New Roman"/>
                <w:b/>
                <w:bCs/>
                <w:color w:val="000000"/>
                <w:sz w:val="22"/>
              </w:rPr>
              <w:t>35.62%</w:t>
            </w:r>
          </w:p>
        </w:tc>
        <w:tc>
          <w:tcPr>
            <w:tcW w:w="523" w:type="pct"/>
            <w:tcBorders>
              <w:top w:val="nil"/>
              <w:left w:val="nil"/>
              <w:bottom w:val="single" w:sz="8" w:space="0" w:color="auto"/>
              <w:right w:val="single" w:sz="8" w:space="0" w:color="auto"/>
            </w:tcBorders>
            <w:shd w:val="clear" w:color="000000" w:fill="948A54"/>
            <w:noWrap/>
            <w:vAlign w:val="bottom"/>
            <w:hideMark/>
          </w:tcPr>
          <w:p w:rsidR="00B46CAF" w:rsidRDefault="00B46CAF">
            <w:pPr>
              <w:jc w:val="center"/>
              <w:rPr>
                <w:rFonts w:ascii="Times New Roman" w:eastAsia="宋体" w:hAnsi="Times New Roman" w:cs="Times New Roman"/>
                <w:b/>
                <w:bCs/>
                <w:color w:val="000000"/>
                <w:sz w:val="22"/>
              </w:rPr>
            </w:pPr>
            <w:r>
              <w:rPr>
                <w:rFonts w:ascii="Times New Roman" w:hAnsi="Times New Roman" w:cs="Times New Roman"/>
                <w:b/>
                <w:bCs/>
                <w:color w:val="000000"/>
                <w:sz w:val="22"/>
              </w:rPr>
              <w:t>26</w:t>
            </w:r>
          </w:p>
        </w:tc>
        <w:tc>
          <w:tcPr>
            <w:tcW w:w="588" w:type="pct"/>
            <w:tcBorders>
              <w:top w:val="nil"/>
              <w:left w:val="nil"/>
              <w:bottom w:val="single" w:sz="8" w:space="0" w:color="auto"/>
              <w:right w:val="single" w:sz="8" w:space="0" w:color="auto"/>
            </w:tcBorders>
            <w:shd w:val="clear" w:color="000000" w:fill="948A54"/>
            <w:noWrap/>
            <w:vAlign w:val="bottom"/>
            <w:hideMark/>
          </w:tcPr>
          <w:p w:rsidR="00B46CAF" w:rsidRDefault="00B46CAF">
            <w:pPr>
              <w:jc w:val="center"/>
              <w:rPr>
                <w:rFonts w:ascii="Times New Roman" w:eastAsia="宋体" w:hAnsi="Times New Roman" w:cs="Times New Roman"/>
                <w:b/>
                <w:bCs/>
                <w:color w:val="000000"/>
                <w:sz w:val="22"/>
              </w:rPr>
            </w:pPr>
            <w:r>
              <w:rPr>
                <w:rFonts w:ascii="Times New Roman" w:hAnsi="Times New Roman" w:cs="Times New Roman"/>
                <w:b/>
                <w:bCs/>
                <w:color w:val="000000"/>
                <w:sz w:val="22"/>
              </w:rPr>
              <w:t>35.62%</w:t>
            </w:r>
          </w:p>
        </w:tc>
        <w:tc>
          <w:tcPr>
            <w:tcW w:w="580" w:type="pct"/>
            <w:tcBorders>
              <w:top w:val="nil"/>
              <w:left w:val="nil"/>
              <w:bottom w:val="single" w:sz="8" w:space="0" w:color="auto"/>
              <w:right w:val="single" w:sz="8" w:space="0" w:color="auto"/>
            </w:tcBorders>
            <w:shd w:val="clear" w:color="000000" w:fill="948A54"/>
            <w:noWrap/>
            <w:vAlign w:val="bottom"/>
            <w:hideMark/>
          </w:tcPr>
          <w:p w:rsidR="00B46CAF" w:rsidRDefault="00B46CAF">
            <w:pPr>
              <w:jc w:val="center"/>
              <w:rPr>
                <w:rFonts w:ascii="Times New Roman" w:eastAsia="宋体" w:hAnsi="Times New Roman" w:cs="Times New Roman"/>
                <w:b/>
                <w:bCs/>
                <w:color w:val="000000"/>
                <w:sz w:val="22"/>
              </w:rPr>
            </w:pPr>
            <w:r>
              <w:rPr>
                <w:rFonts w:ascii="Times New Roman" w:hAnsi="Times New Roman" w:cs="Times New Roman"/>
                <w:b/>
                <w:bCs/>
                <w:color w:val="000000"/>
                <w:sz w:val="22"/>
              </w:rPr>
              <w:t>1</w:t>
            </w:r>
          </w:p>
        </w:tc>
        <w:tc>
          <w:tcPr>
            <w:tcW w:w="530" w:type="pct"/>
            <w:tcBorders>
              <w:top w:val="nil"/>
              <w:left w:val="nil"/>
              <w:bottom w:val="single" w:sz="8" w:space="0" w:color="auto"/>
              <w:right w:val="single" w:sz="8" w:space="0" w:color="auto"/>
            </w:tcBorders>
            <w:shd w:val="clear" w:color="000000" w:fill="948A54"/>
            <w:noWrap/>
            <w:vAlign w:val="center"/>
            <w:hideMark/>
          </w:tcPr>
          <w:p w:rsidR="00B46CAF" w:rsidRDefault="00B46CAF">
            <w:pPr>
              <w:jc w:val="center"/>
              <w:rPr>
                <w:rFonts w:ascii="Times New Roman" w:eastAsia="宋体" w:hAnsi="Times New Roman" w:cs="Times New Roman"/>
                <w:b/>
                <w:bCs/>
                <w:color w:val="000000"/>
                <w:szCs w:val="21"/>
              </w:rPr>
            </w:pPr>
            <w:r>
              <w:rPr>
                <w:rFonts w:ascii="Times New Roman" w:hAnsi="Times New Roman" w:cs="Times New Roman"/>
                <w:b/>
                <w:bCs/>
                <w:color w:val="000000"/>
                <w:szCs w:val="21"/>
              </w:rPr>
              <w:t>1.37%</w:t>
            </w:r>
          </w:p>
        </w:tc>
      </w:tr>
    </w:tbl>
    <w:p w:rsidR="003A67F1" w:rsidRDefault="004B7106" w:rsidP="003A67F1">
      <w:pPr>
        <w:spacing w:line="360" w:lineRule="auto"/>
        <w:jc w:val="left"/>
        <w:rPr>
          <w:rFonts w:ascii="Times New Roman" w:hAnsi="Times New Roman" w:cs="Times New Roman"/>
          <w:color w:val="000000"/>
          <w:sz w:val="24"/>
          <w:szCs w:val="24"/>
          <w:shd w:val="clear" w:color="auto" w:fill="FAFCFF"/>
        </w:rPr>
      </w:pPr>
      <w:r>
        <w:rPr>
          <w:rFonts w:ascii="Times New Roman" w:hAnsi="Times New Roman" w:cs="Times New Roman" w:hint="eastAsia"/>
          <w:color w:val="000000"/>
          <w:sz w:val="24"/>
          <w:szCs w:val="24"/>
          <w:shd w:val="clear" w:color="auto" w:fill="FAFCFF"/>
        </w:rPr>
        <w:t xml:space="preserve">    </w:t>
      </w:r>
      <w:r>
        <w:rPr>
          <w:rFonts w:ascii="Times New Roman" w:hAnsi="Times New Roman" w:cs="Times New Roman" w:hint="eastAsia"/>
          <w:color w:val="000000"/>
          <w:sz w:val="24"/>
          <w:szCs w:val="24"/>
          <w:shd w:val="clear" w:color="auto" w:fill="FAFCFF"/>
        </w:rPr>
        <w:t>从</w:t>
      </w:r>
      <w:r w:rsidR="005756A9">
        <w:rPr>
          <w:rFonts w:ascii="Times New Roman" w:hAnsi="Times New Roman" w:cs="Times New Roman" w:hint="eastAsia"/>
          <w:color w:val="000000"/>
          <w:sz w:val="24"/>
          <w:szCs w:val="24"/>
          <w:shd w:val="clear" w:color="auto" w:fill="FAFCFF"/>
        </w:rPr>
        <w:t>区域</w:t>
      </w:r>
      <w:r>
        <w:rPr>
          <w:rFonts w:ascii="Times New Roman" w:hAnsi="Times New Roman" w:cs="Times New Roman" w:hint="eastAsia"/>
          <w:color w:val="000000"/>
          <w:sz w:val="24"/>
          <w:szCs w:val="24"/>
          <w:shd w:val="clear" w:color="auto" w:fill="FAFCFF"/>
        </w:rPr>
        <w:t>来看，</w:t>
      </w:r>
      <w:r w:rsidR="005756A9">
        <w:rPr>
          <w:rFonts w:ascii="Times New Roman" w:hAnsi="Times New Roman" w:cs="Times New Roman" w:hint="eastAsia"/>
          <w:color w:val="000000"/>
          <w:sz w:val="24"/>
          <w:szCs w:val="24"/>
          <w:shd w:val="clear" w:color="auto" w:fill="FAFCFF"/>
        </w:rPr>
        <w:t>第一方阵城市</w:t>
      </w:r>
      <w:r w:rsidR="002B1195">
        <w:rPr>
          <w:rFonts w:ascii="Times New Roman" w:hAnsi="Times New Roman" w:cs="Times New Roman" w:hint="eastAsia"/>
          <w:color w:val="000000"/>
          <w:sz w:val="24"/>
          <w:szCs w:val="24"/>
          <w:shd w:val="clear" w:color="auto" w:fill="FAFCFF"/>
        </w:rPr>
        <w:t>纯</w:t>
      </w:r>
      <w:r w:rsidR="005756A9">
        <w:rPr>
          <w:rFonts w:ascii="Times New Roman" w:hAnsi="Times New Roman" w:cs="Times New Roman" w:hint="eastAsia"/>
          <w:color w:val="000000"/>
          <w:sz w:val="24"/>
          <w:szCs w:val="24"/>
          <w:shd w:val="clear" w:color="auto" w:fill="FAFCFF"/>
        </w:rPr>
        <w:t>住宅用地</w:t>
      </w:r>
      <w:r w:rsidR="00B46CAF">
        <w:rPr>
          <w:rFonts w:ascii="Times New Roman" w:hAnsi="Times New Roman" w:cs="Times New Roman" w:hint="eastAsia"/>
          <w:color w:val="000000"/>
          <w:sz w:val="24"/>
          <w:szCs w:val="24"/>
          <w:shd w:val="clear" w:color="auto" w:fill="FAFCFF"/>
        </w:rPr>
        <w:t>比例总体高于第二方阵城市，且</w:t>
      </w:r>
      <w:r w:rsidR="002B1195">
        <w:rPr>
          <w:rFonts w:ascii="Times New Roman" w:hAnsi="Times New Roman" w:cs="Times New Roman" w:hint="eastAsia"/>
          <w:color w:val="000000"/>
          <w:sz w:val="24"/>
          <w:szCs w:val="24"/>
          <w:shd w:val="clear" w:color="auto" w:fill="FAFCFF"/>
        </w:rPr>
        <w:t>纯住宅用地占比</w:t>
      </w:r>
      <w:r w:rsidR="00B46CAF">
        <w:rPr>
          <w:rFonts w:ascii="Times New Roman" w:hAnsi="Times New Roman" w:cs="Times New Roman" w:hint="eastAsia"/>
          <w:color w:val="000000"/>
          <w:sz w:val="24"/>
          <w:szCs w:val="24"/>
          <w:shd w:val="clear" w:color="auto" w:fill="FAFCFF"/>
        </w:rPr>
        <w:t>相对较高</w:t>
      </w:r>
      <w:r w:rsidR="002B1195">
        <w:rPr>
          <w:rFonts w:ascii="Times New Roman" w:hAnsi="Times New Roman" w:cs="Times New Roman" w:hint="eastAsia"/>
          <w:color w:val="000000"/>
          <w:sz w:val="24"/>
          <w:szCs w:val="24"/>
          <w:shd w:val="clear" w:color="auto" w:fill="FAFCFF"/>
        </w:rPr>
        <w:t>。第二方阵城市主要以商住用地为主体，常州市商住用地比例达到近</w:t>
      </w:r>
      <w:r w:rsidR="00B46CAF">
        <w:rPr>
          <w:rFonts w:ascii="Times New Roman" w:hAnsi="Times New Roman" w:cs="Times New Roman" w:hint="eastAsia"/>
          <w:color w:val="000000"/>
          <w:sz w:val="24"/>
          <w:szCs w:val="24"/>
          <w:shd w:val="clear" w:color="auto" w:fill="FAFCFF"/>
        </w:rPr>
        <w:t>68.67</w:t>
      </w:r>
      <w:r w:rsidR="002B1195">
        <w:rPr>
          <w:rFonts w:ascii="Times New Roman" w:hAnsi="Times New Roman" w:cs="Times New Roman" w:hint="eastAsia"/>
          <w:color w:val="000000"/>
          <w:sz w:val="24"/>
          <w:szCs w:val="24"/>
          <w:shd w:val="clear" w:color="auto" w:fill="FAFCFF"/>
        </w:rPr>
        <w:t>%</w:t>
      </w:r>
      <w:r w:rsidR="002B1195">
        <w:rPr>
          <w:rFonts w:ascii="Times New Roman" w:hAnsi="Times New Roman" w:cs="Times New Roman" w:hint="eastAsia"/>
          <w:color w:val="000000"/>
          <w:sz w:val="24"/>
          <w:szCs w:val="24"/>
          <w:shd w:val="clear" w:color="auto" w:fill="FAFCFF"/>
        </w:rPr>
        <w:t>。</w:t>
      </w:r>
    </w:p>
    <w:p w:rsidR="005C447A" w:rsidRDefault="005C447A" w:rsidP="0086328F">
      <w:pPr>
        <w:spacing w:beforeLines="50" w:before="156" w:line="360" w:lineRule="auto"/>
        <w:rPr>
          <w:b/>
          <w:sz w:val="24"/>
          <w:szCs w:val="24"/>
        </w:rPr>
      </w:pPr>
      <w:r w:rsidRPr="008F29DD">
        <w:rPr>
          <w:rFonts w:hint="eastAsia"/>
          <w:b/>
          <w:sz w:val="24"/>
          <w:szCs w:val="24"/>
        </w:rPr>
        <w:t>（</w:t>
      </w:r>
      <w:r>
        <w:rPr>
          <w:rFonts w:hint="eastAsia"/>
          <w:b/>
          <w:sz w:val="24"/>
          <w:szCs w:val="24"/>
        </w:rPr>
        <w:t>四</w:t>
      </w:r>
      <w:r w:rsidRPr="008F29DD">
        <w:rPr>
          <w:rFonts w:hint="eastAsia"/>
          <w:b/>
          <w:sz w:val="24"/>
          <w:szCs w:val="24"/>
        </w:rPr>
        <w:t>）</w:t>
      </w:r>
      <w:r>
        <w:rPr>
          <w:rFonts w:hint="eastAsia"/>
          <w:b/>
          <w:sz w:val="24"/>
          <w:szCs w:val="24"/>
        </w:rPr>
        <w:t>购地开发商结构</w:t>
      </w:r>
    </w:p>
    <w:p w:rsidR="007C72AE" w:rsidRDefault="007C72AE" w:rsidP="007C72AE">
      <w:pPr>
        <w:spacing w:beforeLines="50" w:before="156" w:line="360" w:lineRule="auto"/>
        <w:ind w:firstLineChars="200" w:firstLine="480"/>
        <w:rPr>
          <w:rFonts w:ascii="Times New Roman" w:hAnsi="Times New Roman" w:cs="Times New Roman"/>
          <w:sz w:val="24"/>
        </w:rPr>
      </w:pPr>
      <w:r w:rsidRPr="00ED2481">
        <w:rPr>
          <w:rFonts w:ascii="Times New Roman" w:hAnsi="Times New Roman" w:cs="Times New Roman" w:hint="eastAsia"/>
          <w:sz w:val="24"/>
        </w:rPr>
        <w:t>2015</w:t>
      </w:r>
      <w:r>
        <w:rPr>
          <w:rFonts w:ascii="Times New Roman" w:hAnsi="Times New Roman" w:cs="Times New Roman" w:hint="eastAsia"/>
          <w:sz w:val="24"/>
        </w:rPr>
        <w:t>年三季度，苏</w:t>
      </w:r>
      <w:proofErr w:type="gramStart"/>
      <w:r>
        <w:rPr>
          <w:rFonts w:ascii="Times New Roman" w:hAnsi="Times New Roman" w:cs="Times New Roman" w:hint="eastAsia"/>
          <w:sz w:val="24"/>
        </w:rPr>
        <w:t>南城市</w:t>
      </w:r>
      <w:proofErr w:type="gramEnd"/>
      <w:r>
        <w:rPr>
          <w:rFonts w:ascii="Times New Roman" w:hAnsi="Times New Roman" w:cs="Times New Roman" w:hint="eastAsia"/>
          <w:sz w:val="24"/>
        </w:rPr>
        <w:t>土地市场共成交土地</w:t>
      </w:r>
      <w:r>
        <w:rPr>
          <w:rFonts w:ascii="Times New Roman" w:hAnsi="Times New Roman" w:cs="Times New Roman" w:hint="eastAsia"/>
          <w:sz w:val="24"/>
        </w:rPr>
        <w:t>73</w:t>
      </w:r>
      <w:r>
        <w:rPr>
          <w:rFonts w:ascii="Times New Roman" w:hAnsi="Times New Roman" w:cs="Times New Roman" w:hint="eastAsia"/>
          <w:sz w:val="24"/>
        </w:rPr>
        <w:t>宗，其中：本地开发商</w:t>
      </w:r>
      <w:r w:rsidRPr="00451929">
        <w:rPr>
          <w:rStyle w:val="a5"/>
          <w:rFonts w:ascii="Times New Roman" w:hAnsi="Times New Roman" w:cs="Times New Roman"/>
          <w:sz w:val="24"/>
        </w:rPr>
        <w:footnoteReference w:id="2"/>
      </w:r>
      <w:r>
        <w:rPr>
          <w:rFonts w:ascii="Times New Roman" w:hAnsi="Times New Roman" w:cs="Times New Roman" w:hint="eastAsia"/>
          <w:sz w:val="24"/>
        </w:rPr>
        <w:t>47</w:t>
      </w:r>
      <w:r>
        <w:rPr>
          <w:rFonts w:ascii="Times New Roman" w:hAnsi="Times New Roman" w:cs="Times New Roman" w:hint="eastAsia"/>
          <w:sz w:val="24"/>
        </w:rPr>
        <w:t>宗，</w:t>
      </w:r>
      <w:proofErr w:type="gramStart"/>
      <w:r>
        <w:rPr>
          <w:rFonts w:ascii="Times New Roman" w:hAnsi="Times New Roman" w:cs="Times New Roman" w:hint="eastAsia"/>
          <w:sz w:val="24"/>
        </w:rPr>
        <w:t>标杆房企</w:t>
      </w:r>
      <w:proofErr w:type="gramEnd"/>
      <w:r>
        <w:rPr>
          <w:rFonts w:ascii="Times New Roman" w:hAnsi="Times New Roman" w:cs="Times New Roman" w:hint="eastAsia"/>
          <w:sz w:val="24"/>
        </w:rPr>
        <w:t>0</w:t>
      </w:r>
      <w:r>
        <w:rPr>
          <w:rFonts w:ascii="Times New Roman" w:hAnsi="Times New Roman" w:cs="Times New Roman" w:hint="eastAsia"/>
          <w:sz w:val="24"/>
        </w:rPr>
        <w:t>宗，其他开发商</w:t>
      </w:r>
      <w:r w:rsidRPr="00451929">
        <w:rPr>
          <w:rStyle w:val="a5"/>
          <w:rFonts w:ascii="Times New Roman" w:hAnsi="Times New Roman" w:cs="Times New Roman"/>
          <w:sz w:val="24"/>
        </w:rPr>
        <w:footnoteReference w:id="3"/>
      </w:r>
      <w:r>
        <w:rPr>
          <w:rFonts w:ascii="Times New Roman" w:hAnsi="Times New Roman" w:cs="Times New Roman" w:hint="eastAsia"/>
          <w:sz w:val="24"/>
        </w:rPr>
        <w:t>26</w:t>
      </w:r>
      <w:r>
        <w:rPr>
          <w:rFonts w:ascii="Times New Roman" w:hAnsi="Times New Roman" w:cs="Times New Roman" w:hint="eastAsia"/>
          <w:sz w:val="24"/>
        </w:rPr>
        <w:t>宗。总体来看，苏</w:t>
      </w:r>
      <w:proofErr w:type="gramStart"/>
      <w:r>
        <w:rPr>
          <w:rFonts w:ascii="Times New Roman" w:hAnsi="Times New Roman" w:cs="Times New Roman" w:hint="eastAsia"/>
          <w:sz w:val="24"/>
        </w:rPr>
        <w:t>南城市</w:t>
      </w:r>
      <w:proofErr w:type="gramEnd"/>
      <w:r>
        <w:rPr>
          <w:rFonts w:ascii="Times New Roman" w:hAnsi="Times New Roman" w:cs="Times New Roman" w:hint="eastAsia"/>
          <w:sz w:val="24"/>
        </w:rPr>
        <w:t>成交土地中仍以本土开发商为主，占比超过</w:t>
      </w:r>
      <w:r>
        <w:rPr>
          <w:rFonts w:ascii="Times New Roman" w:hAnsi="Times New Roman" w:cs="Times New Roman" w:hint="eastAsia"/>
          <w:sz w:val="24"/>
        </w:rPr>
        <w:t>60%</w:t>
      </w:r>
      <w:r>
        <w:rPr>
          <w:rFonts w:ascii="Times New Roman" w:hAnsi="Times New Roman" w:cs="Times New Roman" w:hint="eastAsia"/>
          <w:sz w:val="24"/>
        </w:rPr>
        <w:t>；其他开发商紧随其后，占比达到</w:t>
      </w:r>
      <w:r>
        <w:rPr>
          <w:rFonts w:ascii="Times New Roman" w:hAnsi="Times New Roman" w:cs="Times New Roman" w:hint="eastAsia"/>
          <w:sz w:val="24"/>
        </w:rPr>
        <w:t>35.62%</w:t>
      </w:r>
      <w:r>
        <w:rPr>
          <w:rFonts w:ascii="Times New Roman" w:hAnsi="Times New Roman" w:cs="Times New Roman" w:hint="eastAsia"/>
          <w:sz w:val="24"/>
        </w:rPr>
        <w:t>；而</w:t>
      </w:r>
      <w:proofErr w:type="gramStart"/>
      <w:r>
        <w:rPr>
          <w:rFonts w:ascii="Times New Roman" w:hAnsi="Times New Roman" w:cs="Times New Roman" w:hint="eastAsia"/>
          <w:sz w:val="24"/>
        </w:rPr>
        <w:t>标杆房企拿</w:t>
      </w:r>
      <w:proofErr w:type="gramEnd"/>
      <w:r>
        <w:rPr>
          <w:rFonts w:ascii="Times New Roman" w:hAnsi="Times New Roman" w:cs="Times New Roman" w:hint="eastAsia"/>
          <w:sz w:val="24"/>
        </w:rPr>
        <w:t>地速度继续放缓，本季度未拿地。</w:t>
      </w:r>
    </w:p>
    <w:p w:rsidR="007C72AE" w:rsidRPr="00ED2481" w:rsidRDefault="007C72AE" w:rsidP="007C72AE">
      <w:pPr>
        <w:spacing w:beforeLines="50" w:before="156" w:line="360" w:lineRule="auto"/>
        <w:ind w:firstLineChars="200" w:firstLine="480"/>
        <w:rPr>
          <w:rFonts w:ascii="Times New Roman" w:hAnsi="Times New Roman" w:cs="Times New Roman"/>
          <w:sz w:val="24"/>
        </w:rPr>
      </w:pPr>
      <w:r>
        <w:rPr>
          <w:rFonts w:ascii="Times New Roman" w:hAnsi="Times New Roman" w:cs="Times New Roman" w:hint="eastAsia"/>
          <w:sz w:val="24"/>
        </w:rPr>
        <w:t>从区域来看，南京市三季度本地开发商拿地</w:t>
      </w:r>
      <w:r>
        <w:rPr>
          <w:rFonts w:ascii="Times New Roman" w:hAnsi="Times New Roman" w:cs="Times New Roman" w:hint="eastAsia"/>
          <w:sz w:val="24"/>
        </w:rPr>
        <w:t>10</w:t>
      </w:r>
      <w:r>
        <w:rPr>
          <w:rFonts w:ascii="Times New Roman" w:hAnsi="Times New Roman" w:cs="Times New Roman" w:hint="eastAsia"/>
          <w:sz w:val="24"/>
        </w:rPr>
        <w:t>宗，其他开发商拿地</w:t>
      </w:r>
      <w:r>
        <w:rPr>
          <w:rFonts w:ascii="Times New Roman" w:hAnsi="Times New Roman" w:cs="Times New Roman" w:hint="eastAsia"/>
          <w:sz w:val="24"/>
        </w:rPr>
        <w:t>7</w:t>
      </w:r>
      <w:r>
        <w:rPr>
          <w:rFonts w:ascii="Times New Roman" w:hAnsi="Times New Roman" w:cs="Times New Roman" w:hint="eastAsia"/>
          <w:sz w:val="24"/>
        </w:rPr>
        <w:t>宗，无</w:t>
      </w:r>
      <w:proofErr w:type="gramStart"/>
      <w:r>
        <w:rPr>
          <w:rFonts w:ascii="Times New Roman" w:hAnsi="Times New Roman" w:cs="Times New Roman" w:hint="eastAsia"/>
          <w:sz w:val="24"/>
        </w:rPr>
        <w:t>标杆房企拿</w:t>
      </w:r>
      <w:proofErr w:type="gramEnd"/>
      <w:r>
        <w:rPr>
          <w:rFonts w:ascii="Times New Roman" w:hAnsi="Times New Roman" w:cs="Times New Roman" w:hint="eastAsia"/>
          <w:sz w:val="24"/>
        </w:rPr>
        <w:t>地，本地开发商拿地占据主体；苏州市本地开发商拿地</w:t>
      </w:r>
      <w:r>
        <w:rPr>
          <w:rFonts w:ascii="Times New Roman" w:hAnsi="Times New Roman" w:cs="Times New Roman" w:hint="eastAsia"/>
          <w:sz w:val="24"/>
        </w:rPr>
        <w:t>14</w:t>
      </w:r>
      <w:r>
        <w:rPr>
          <w:rFonts w:ascii="Times New Roman" w:hAnsi="Times New Roman" w:cs="Times New Roman" w:hint="eastAsia"/>
          <w:sz w:val="24"/>
        </w:rPr>
        <w:t>宗，其他开发商</w:t>
      </w:r>
      <w:r>
        <w:rPr>
          <w:rFonts w:ascii="Times New Roman" w:hAnsi="Times New Roman" w:cs="Times New Roman" w:hint="eastAsia"/>
          <w:sz w:val="24"/>
        </w:rPr>
        <w:t>13</w:t>
      </w:r>
      <w:r>
        <w:rPr>
          <w:rFonts w:ascii="Times New Roman" w:hAnsi="Times New Roman" w:cs="Times New Roman" w:hint="eastAsia"/>
          <w:sz w:val="24"/>
        </w:rPr>
        <w:t>宗，无</w:t>
      </w:r>
      <w:proofErr w:type="gramStart"/>
      <w:r>
        <w:rPr>
          <w:rFonts w:ascii="Times New Roman" w:hAnsi="Times New Roman" w:cs="Times New Roman" w:hint="eastAsia"/>
          <w:sz w:val="24"/>
        </w:rPr>
        <w:t>标杆房企拿</w:t>
      </w:r>
      <w:proofErr w:type="gramEnd"/>
      <w:r>
        <w:rPr>
          <w:rFonts w:ascii="Times New Roman" w:hAnsi="Times New Roman" w:cs="Times New Roman" w:hint="eastAsia"/>
          <w:sz w:val="24"/>
        </w:rPr>
        <w:t>地；无锡市本地开发商拿地</w:t>
      </w:r>
      <w:r>
        <w:rPr>
          <w:rFonts w:ascii="Times New Roman" w:hAnsi="Times New Roman" w:cs="Times New Roman" w:hint="eastAsia"/>
          <w:sz w:val="24"/>
        </w:rPr>
        <w:t>3</w:t>
      </w:r>
      <w:r>
        <w:rPr>
          <w:rFonts w:ascii="Times New Roman" w:hAnsi="Times New Roman" w:cs="Times New Roman" w:hint="eastAsia"/>
          <w:sz w:val="24"/>
        </w:rPr>
        <w:t>宗，</w:t>
      </w:r>
      <w:r w:rsidRPr="00F45C04">
        <w:rPr>
          <w:rFonts w:ascii="Times New Roman" w:hAnsi="Times New Roman" w:cs="Times New Roman" w:hint="eastAsia"/>
          <w:sz w:val="24"/>
        </w:rPr>
        <w:t>其他开发商</w:t>
      </w:r>
      <w:r>
        <w:rPr>
          <w:rFonts w:ascii="Times New Roman" w:hAnsi="Times New Roman" w:cs="Times New Roman" w:hint="eastAsia"/>
          <w:sz w:val="24"/>
        </w:rPr>
        <w:t>1</w:t>
      </w:r>
      <w:r w:rsidRPr="00F45C04">
        <w:rPr>
          <w:rFonts w:ascii="Times New Roman" w:hAnsi="Times New Roman" w:cs="Times New Roman" w:hint="eastAsia"/>
          <w:sz w:val="24"/>
        </w:rPr>
        <w:t>宗</w:t>
      </w:r>
      <w:r>
        <w:rPr>
          <w:rFonts w:ascii="Times New Roman" w:hAnsi="Times New Roman" w:cs="Times New Roman" w:hint="eastAsia"/>
          <w:sz w:val="24"/>
        </w:rPr>
        <w:t>；常州市本地开发商拿地</w:t>
      </w:r>
      <w:r>
        <w:rPr>
          <w:rFonts w:ascii="Times New Roman" w:hAnsi="Times New Roman" w:cs="Times New Roman" w:hint="eastAsia"/>
          <w:sz w:val="24"/>
        </w:rPr>
        <w:t>19</w:t>
      </w:r>
      <w:r>
        <w:rPr>
          <w:rFonts w:ascii="Times New Roman" w:hAnsi="Times New Roman" w:cs="Times New Roman" w:hint="eastAsia"/>
          <w:sz w:val="24"/>
        </w:rPr>
        <w:t>宗，其他开发商拿到</w:t>
      </w:r>
      <w:r>
        <w:rPr>
          <w:rFonts w:ascii="Times New Roman" w:hAnsi="Times New Roman" w:cs="Times New Roman" w:hint="eastAsia"/>
          <w:sz w:val="24"/>
        </w:rPr>
        <w:t>3</w:t>
      </w:r>
      <w:r>
        <w:rPr>
          <w:rFonts w:ascii="Times New Roman" w:hAnsi="Times New Roman" w:cs="Times New Roman" w:hint="eastAsia"/>
          <w:sz w:val="24"/>
        </w:rPr>
        <w:t>宗；镇江市本地开发商拿</w:t>
      </w:r>
      <w:r>
        <w:rPr>
          <w:rFonts w:ascii="Times New Roman" w:hAnsi="Times New Roman" w:cs="Times New Roman" w:hint="eastAsia"/>
          <w:sz w:val="24"/>
        </w:rPr>
        <w:lastRenderedPageBreak/>
        <w:t>地</w:t>
      </w:r>
      <w:r>
        <w:rPr>
          <w:rFonts w:ascii="Times New Roman" w:hAnsi="Times New Roman" w:cs="Times New Roman" w:hint="eastAsia"/>
          <w:sz w:val="24"/>
        </w:rPr>
        <w:t>1</w:t>
      </w:r>
      <w:r>
        <w:rPr>
          <w:rFonts w:ascii="Times New Roman" w:hAnsi="Times New Roman" w:cs="Times New Roman" w:hint="eastAsia"/>
          <w:sz w:val="24"/>
        </w:rPr>
        <w:t>宗，其他开发商拿地</w:t>
      </w:r>
      <w:r>
        <w:rPr>
          <w:rFonts w:ascii="Times New Roman" w:hAnsi="Times New Roman" w:cs="Times New Roman" w:hint="eastAsia"/>
          <w:sz w:val="24"/>
        </w:rPr>
        <w:t>2</w:t>
      </w:r>
      <w:r>
        <w:rPr>
          <w:rFonts w:ascii="Times New Roman" w:hAnsi="Times New Roman" w:cs="Times New Roman" w:hint="eastAsia"/>
          <w:sz w:val="24"/>
        </w:rPr>
        <w:t>宗，拿</w:t>
      </w:r>
      <w:proofErr w:type="gramStart"/>
      <w:r>
        <w:rPr>
          <w:rFonts w:ascii="Times New Roman" w:hAnsi="Times New Roman" w:cs="Times New Roman" w:hint="eastAsia"/>
          <w:sz w:val="24"/>
        </w:rPr>
        <w:t>地主体</w:t>
      </w:r>
      <w:proofErr w:type="gramEnd"/>
      <w:r>
        <w:rPr>
          <w:rFonts w:ascii="Times New Roman" w:hAnsi="Times New Roman" w:cs="Times New Roman" w:hint="eastAsia"/>
          <w:sz w:val="24"/>
        </w:rPr>
        <w:t>仍集中在本地。三季度苏南五市开发商购地情况如图</w:t>
      </w:r>
      <w:r>
        <w:rPr>
          <w:rFonts w:ascii="Times New Roman" w:hAnsi="Times New Roman" w:cs="Times New Roman" w:hint="eastAsia"/>
          <w:sz w:val="24"/>
        </w:rPr>
        <w:t>4</w:t>
      </w:r>
      <w:r>
        <w:rPr>
          <w:rFonts w:ascii="Times New Roman" w:hAnsi="Times New Roman" w:cs="Times New Roman" w:hint="eastAsia"/>
          <w:sz w:val="24"/>
        </w:rPr>
        <w:t>所示：</w:t>
      </w:r>
    </w:p>
    <w:p w:rsidR="007C72AE" w:rsidRDefault="007C72AE" w:rsidP="007C72AE">
      <w:pPr>
        <w:spacing w:beforeLines="50" w:before="156" w:line="360" w:lineRule="auto"/>
        <w:jc w:val="center"/>
        <w:rPr>
          <w:rFonts w:ascii="Times New Roman" w:hAnsi="Times New Roman" w:cs="Times New Roman"/>
          <w:b/>
          <w:sz w:val="24"/>
        </w:rPr>
      </w:pPr>
      <w:r>
        <w:rPr>
          <w:noProof/>
        </w:rPr>
        <w:drawing>
          <wp:inline distT="0" distB="0" distL="0" distR="0" wp14:anchorId="6663F0BF" wp14:editId="2317B345">
            <wp:extent cx="4638675" cy="2743200"/>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C72AE" w:rsidRPr="00885951" w:rsidRDefault="007C72AE" w:rsidP="007C72AE">
      <w:pPr>
        <w:spacing w:beforeLines="50" w:before="156" w:line="360" w:lineRule="auto"/>
        <w:jc w:val="center"/>
        <w:rPr>
          <w:rFonts w:ascii="Times New Roman" w:hAnsi="Times New Roman" w:cs="Times New Roman"/>
          <w:b/>
          <w:sz w:val="24"/>
        </w:rPr>
      </w:pPr>
      <w:r w:rsidRPr="00885951">
        <w:rPr>
          <w:rFonts w:ascii="Times New Roman" w:hAnsi="Times New Roman" w:cs="Times New Roman"/>
          <w:b/>
          <w:noProof/>
        </w:rPr>
        <w:t>图</w:t>
      </w:r>
      <w:r w:rsidRPr="00885951">
        <w:rPr>
          <w:rFonts w:ascii="Times New Roman" w:hAnsi="Times New Roman" w:cs="Times New Roman" w:hint="eastAsia"/>
          <w:b/>
          <w:noProof/>
        </w:rPr>
        <w:t>4</w:t>
      </w:r>
      <w:r w:rsidRPr="00885951">
        <w:rPr>
          <w:rFonts w:ascii="Times New Roman" w:hAnsi="Times New Roman" w:cs="Times New Roman"/>
          <w:b/>
          <w:noProof/>
        </w:rPr>
        <w:t xml:space="preserve"> </w:t>
      </w:r>
      <w:r w:rsidRPr="00885951">
        <w:rPr>
          <w:rFonts w:ascii="Times New Roman" w:hAnsi="Times New Roman" w:cs="Times New Roman"/>
          <w:b/>
          <w:noProof/>
        </w:rPr>
        <w:t>苏南五市</w:t>
      </w:r>
      <w:r w:rsidRPr="00885951">
        <w:rPr>
          <w:rFonts w:ascii="Times New Roman" w:hAnsi="Times New Roman" w:cs="Times New Roman"/>
          <w:b/>
          <w:noProof/>
        </w:rPr>
        <w:t>2015</w:t>
      </w:r>
      <w:r w:rsidRPr="00885951">
        <w:rPr>
          <w:rFonts w:ascii="Times New Roman" w:hAnsi="Times New Roman" w:cs="Times New Roman"/>
          <w:b/>
          <w:noProof/>
        </w:rPr>
        <w:t>年第</w:t>
      </w:r>
      <w:r>
        <w:rPr>
          <w:rFonts w:ascii="Times New Roman" w:hAnsi="Times New Roman" w:cs="Times New Roman" w:hint="eastAsia"/>
          <w:b/>
          <w:noProof/>
        </w:rPr>
        <w:t>三</w:t>
      </w:r>
      <w:r w:rsidRPr="00885951">
        <w:rPr>
          <w:rFonts w:ascii="Times New Roman" w:hAnsi="Times New Roman" w:cs="Times New Roman"/>
          <w:b/>
          <w:noProof/>
        </w:rPr>
        <w:t>季度购地开发商结构</w:t>
      </w:r>
    </w:p>
    <w:p w:rsidR="006769DC" w:rsidRDefault="006769DC" w:rsidP="008F22EB">
      <w:pPr>
        <w:jc w:val="left"/>
        <w:rPr>
          <w:rFonts w:ascii="黑体" w:eastAsia="黑体" w:hAnsi="黑体"/>
          <w:b/>
          <w:sz w:val="28"/>
          <w:szCs w:val="28"/>
        </w:rPr>
      </w:pPr>
      <w:r>
        <w:rPr>
          <w:rFonts w:ascii="黑体" w:eastAsia="黑体" w:hAnsi="黑体" w:hint="eastAsia"/>
          <w:b/>
          <w:sz w:val="28"/>
          <w:szCs w:val="28"/>
        </w:rPr>
        <w:t>三</w:t>
      </w:r>
      <w:r w:rsidRPr="00410D09">
        <w:rPr>
          <w:rFonts w:ascii="黑体" w:eastAsia="黑体" w:hAnsi="黑体" w:hint="eastAsia"/>
          <w:b/>
          <w:sz w:val="28"/>
          <w:szCs w:val="28"/>
        </w:rPr>
        <w:t>、</w:t>
      </w:r>
      <w:r>
        <w:rPr>
          <w:rFonts w:ascii="黑体" w:eastAsia="黑体" w:hAnsi="黑体" w:hint="eastAsia"/>
          <w:b/>
          <w:sz w:val="28"/>
          <w:szCs w:val="28"/>
        </w:rPr>
        <w:t>城市</w:t>
      </w:r>
      <w:r w:rsidR="005135EF">
        <w:rPr>
          <w:rFonts w:ascii="黑体" w:eastAsia="黑体" w:hAnsi="黑体" w:hint="eastAsia"/>
          <w:b/>
          <w:sz w:val="28"/>
          <w:szCs w:val="28"/>
        </w:rPr>
        <w:t>市场</w:t>
      </w:r>
    </w:p>
    <w:p w:rsidR="007E0D5E" w:rsidRDefault="00DB29BF" w:rsidP="008F22EB">
      <w:pPr>
        <w:spacing w:beforeLines="50" w:before="156" w:line="360" w:lineRule="auto"/>
        <w:jc w:val="left"/>
        <w:rPr>
          <w:rFonts w:asciiTheme="minorEastAsia" w:hAnsiTheme="minorEastAsia"/>
          <w:b/>
          <w:sz w:val="24"/>
          <w:szCs w:val="24"/>
        </w:rPr>
      </w:pPr>
      <w:r w:rsidRPr="00DB29BF">
        <w:rPr>
          <w:rFonts w:asciiTheme="minorEastAsia" w:hAnsiTheme="minorEastAsia" w:hint="eastAsia"/>
          <w:b/>
          <w:color w:val="FF0000"/>
          <w:sz w:val="24"/>
          <w:szCs w:val="24"/>
          <w:vertAlign w:val="superscript"/>
        </w:rPr>
        <w:t>×</w:t>
      </w:r>
      <w:r w:rsidR="00CE1ACD" w:rsidRPr="00CE1ACD">
        <w:rPr>
          <w:rFonts w:asciiTheme="minorEastAsia" w:hAnsiTheme="minorEastAsia" w:hint="eastAsia"/>
          <w:b/>
          <w:sz w:val="24"/>
          <w:szCs w:val="24"/>
        </w:rPr>
        <w:t>(</w:t>
      </w:r>
      <w:proofErr w:type="gramStart"/>
      <w:r w:rsidR="00CE1ACD" w:rsidRPr="00CE1ACD">
        <w:rPr>
          <w:rFonts w:asciiTheme="minorEastAsia" w:hAnsiTheme="minorEastAsia" w:hint="eastAsia"/>
          <w:b/>
          <w:sz w:val="24"/>
          <w:szCs w:val="24"/>
        </w:rPr>
        <w:t>一</w:t>
      </w:r>
      <w:proofErr w:type="gramEnd"/>
      <w:r w:rsidR="00CE1ACD" w:rsidRPr="00CE1ACD">
        <w:rPr>
          <w:rFonts w:asciiTheme="minorEastAsia" w:hAnsiTheme="minorEastAsia" w:hint="eastAsia"/>
          <w:b/>
          <w:sz w:val="24"/>
          <w:szCs w:val="24"/>
        </w:rPr>
        <w:t>)南京</w:t>
      </w:r>
    </w:p>
    <w:p w:rsidR="009B2D9C" w:rsidRDefault="00225C00" w:rsidP="008F22EB">
      <w:pPr>
        <w:spacing w:line="460" w:lineRule="exact"/>
        <w:ind w:firstLineChars="200" w:firstLine="480"/>
        <w:rPr>
          <w:rFonts w:asciiTheme="minorEastAsia" w:hAnsiTheme="minorEastAsia"/>
          <w:sz w:val="24"/>
          <w:szCs w:val="24"/>
        </w:rPr>
      </w:pPr>
      <w:r w:rsidRPr="00225C00">
        <w:rPr>
          <w:rFonts w:asciiTheme="minorEastAsia" w:hAnsiTheme="minorEastAsia" w:hint="eastAsia"/>
          <w:sz w:val="24"/>
          <w:szCs w:val="24"/>
        </w:rPr>
        <w:t>2015</w:t>
      </w:r>
      <w:r w:rsidR="00F45C04">
        <w:rPr>
          <w:rFonts w:asciiTheme="minorEastAsia" w:hAnsiTheme="minorEastAsia" w:hint="eastAsia"/>
          <w:sz w:val="24"/>
          <w:szCs w:val="24"/>
        </w:rPr>
        <w:t>年第三</w:t>
      </w:r>
      <w:r w:rsidRPr="00225C00">
        <w:rPr>
          <w:rFonts w:asciiTheme="minorEastAsia" w:hAnsiTheme="minorEastAsia" w:hint="eastAsia"/>
          <w:sz w:val="24"/>
          <w:szCs w:val="24"/>
        </w:rPr>
        <w:t>季度，</w:t>
      </w:r>
      <w:r>
        <w:rPr>
          <w:rFonts w:asciiTheme="minorEastAsia" w:hAnsiTheme="minorEastAsia" w:hint="eastAsia"/>
          <w:sz w:val="24"/>
          <w:szCs w:val="24"/>
        </w:rPr>
        <w:t>南京市成交土地</w:t>
      </w:r>
      <w:r w:rsidR="00F45C04">
        <w:rPr>
          <w:rFonts w:asciiTheme="minorEastAsia" w:hAnsiTheme="minorEastAsia" w:hint="eastAsia"/>
          <w:sz w:val="24"/>
          <w:szCs w:val="24"/>
        </w:rPr>
        <w:t>1</w:t>
      </w:r>
      <w:r w:rsidR="00F45C04" w:rsidRPr="00F705A7">
        <w:rPr>
          <w:rFonts w:asciiTheme="minorEastAsia" w:hAnsiTheme="minorEastAsia" w:hint="eastAsia"/>
          <w:sz w:val="24"/>
          <w:szCs w:val="24"/>
        </w:rPr>
        <w:t>7</w:t>
      </w:r>
      <w:r w:rsidRPr="00F705A7">
        <w:rPr>
          <w:rFonts w:asciiTheme="minorEastAsia" w:hAnsiTheme="minorEastAsia" w:hint="eastAsia"/>
          <w:sz w:val="24"/>
          <w:szCs w:val="24"/>
        </w:rPr>
        <w:t>宗，</w:t>
      </w:r>
      <w:r w:rsidR="00F705A7" w:rsidRPr="00F705A7">
        <w:rPr>
          <w:rFonts w:asciiTheme="minorEastAsia" w:hAnsiTheme="minorEastAsia" w:hint="eastAsia"/>
          <w:sz w:val="24"/>
          <w:szCs w:val="24"/>
        </w:rPr>
        <w:t>同比增长240</w:t>
      </w:r>
      <w:r w:rsidRPr="00F705A7">
        <w:rPr>
          <w:rFonts w:asciiTheme="minorEastAsia" w:hAnsiTheme="minorEastAsia" w:hint="eastAsia"/>
          <w:sz w:val="24"/>
          <w:szCs w:val="24"/>
        </w:rPr>
        <w:t>%，环比增长</w:t>
      </w:r>
      <w:r w:rsidR="00F705A7" w:rsidRPr="00F705A7">
        <w:rPr>
          <w:rFonts w:asciiTheme="minorEastAsia" w:hAnsiTheme="minorEastAsia" w:hint="eastAsia"/>
          <w:sz w:val="24"/>
          <w:szCs w:val="24"/>
        </w:rPr>
        <w:t>54.54</w:t>
      </w:r>
      <w:r w:rsidRPr="00F705A7">
        <w:rPr>
          <w:rFonts w:asciiTheme="minorEastAsia" w:hAnsiTheme="minorEastAsia" w:hint="eastAsia"/>
          <w:sz w:val="24"/>
          <w:szCs w:val="24"/>
        </w:rPr>
        <w:t>%。</w:t>
      </w:r>
      <w:r>
        <w:rPr>
          <w:rFonts w:asciiTheme="minorEastAsia" w:hAnsiTheme="minorEastAsia" w:hint="eastAsia"/>
          <w:sz w:val="24"/>
          <w:szCs w:val="24"/>
        </w:rPr>
        <w:t>在</w:t>
      </w:r>
      <w:r w:rsidR="005E79A1">
        <w:rPr>
          <w:rFonts w:asciiTheme="minorEastAsia" w:hAnsiTheme="minorEastAsia" w:hint="eastAsia"/>
          <w:sz w:val="24"/>
          <w:szCs w:val="24"/>
        </w:rPr>
        <w:t>2014年</w:t>
      </w:r>
      <w:r>
        <w:rPr>
          <w:rFonts w:asciiTheme="minorEastAsia" w:hAnsiTheme="minorEastAsia" w:hint="eastAsia"/>
          <w:sz w:val="24"/>
          <w:szCs w:val="24"/>
        </w:rPr>
        <w:t>市场一度转冷的情况下，南京市</w:t>
      </w:r>
      <w:r w:rsidR="005E79A1">
        <w:rPr>
          <w:rFonts w:asciiTheme="minorEastAsia" w:hAnsiTheme="minorEastAsia" w:hint="eastAsia"/>
          <w:sz w:val="24"/>
          <w:szCs w:val="24"/>
        </w:rPr>
        <w:t>2015年</w:t>
      </w:r>
      <w:r>
        <w:rPr>
          <w:rFonts w:asciiTheme="minorEastAsia" w:hAnsiTheme="minorEastAsia" w:hint="eastAsia"/>
          <w:sz w:val="24"/>
          <w:szCs w:val="24"/>
        </w:rPr>
        <w:t>土地市场</w:t>
      </w:r>
      <w:r w:rsidR="003F68E3">
        <w:rPr>
          <w:rFonts w:asciiTheme="minorEastAsia" w:hAnsiTheme="minorEastAsia" w:hint="eastAsia"/>
          <w:sz w:val="24"/>
          <w:szCs w:val="24"/>
        </w:rPr>
        <w:t>有所</w:t>
      </w:r>
      <w:r w:rsidR="005E79A1">
        <w:rPr>
          <w:rFonts w:asciiTheme="minorEastAsia" w:hAnsiTheme="minorEastAsia" w:hint="eastAsia"/>
          <w:sz w:val="24"/>
          <w:szCs w:val="24"/>
        </w:rPr>
        <w:t>好转，</w:t>
      </w:r>
      <w:r w:rsidR="00A41718">
        <w:rPr>
          <w:rFonts w:asciiTheme="minorEastAsia" w:hAnsiTheme="minorEastAsia" w:hint="eastAsia"/>
          <w:sz w:val="24"/>
          <w:szCs w:val="24"/>
        </w:rPr>
        <w:t>呈现出明显的转暖趋势。</w:t>
      </w:r>
    </w:p>
    <w:p w:rsidR="00A27C47" w:rsidRDefault="00A27C47" w:rsidP="008F22EB">
      <w:pPr>
        <w:spacing w:line="460" w:lineRule="exact"/>
        <w:ind w:firstLineChars="200" w:firstLine="480"/>
        <w:rPr>
          <w:rFonts w:asciiTheme="minorEastAsia" w:hAnsiTheme="minorEastAsia"/>
          <w:sz w:val="24"/>
          <w:szCs w:val="24"/>
        </w:rPr>
      </w:pPr>
      <w:r>
        <w:rPr>
          <w:rFonts w:asciiTheme="minorEastAsia" w:hAnsiTheme="minorEastAsia" w:hint="eastAsia"/>
          <w:sz w:val="24"/>
          <w:szCs w:val="24"/>
        </w:rPr>
        <w:t>从用途来看，</w:t>
      </w:r>
      <w:r w:rsidR="003A5913">
        <w:rPr>
          <w:rFonts w:asciiTheme="minorEastAsia" w:hAnsiTheme="minorEastAsia" w:hint="eastAsia"/>
          <w:sz w:val="24"/>
          <w:szCs w:val="24"/>
        </w:rPr>
        <w:t>南京市土地仍以住宅用地为主，其中纯住宅3宗，商住用地</w:t>
      </w:r>
      <w:r w:rsidR="00073315">
        <w:rPr>
          <w:rFonts w:asciiTheme="minorEastAsia" w:hAnsiTheme="minorEastAsia" w:hint="eastAsia"/>
          <w:sz w:val="24"/>
          <w:szCs w:val="24"/>
        </w:rPr>
        <w:t>6</w:t>
      </w:r>
      <w:r w:rsidR="003A5913">
        <w:rPr>
          <w:rFonts w:asciiTheme="minorEastAsia" w:hAnsiTheme="minorEastAsia" w:hint="eastAsia"/>
          <w:sz w:val="24"/>
          <w:szCs w:val="24"/>
        </w:rPr>
        <w:t>宗，且地块规模均较大。商住用地每宗地达到11.09公顷，纯住宅用地也达到</w:t>
      </w:r>
      <w:r w:rsidR="00073315">
        <w:rPr>
          <w:rFonts w:asciiTheme="minorEastAsia" w:hAnsiTheme="minorEastAsia" w:hint="eastAsia"/>
          <w:sz w:val="24"/>
          <w:szCs w:val="24"/>
        </w:rPr>
        <w:t>6.27</w:t>
      </w:r>
      <w:r w:rsidR="003A5913">
        <w:rPr>
          <w:rFonts w:asciiTheme="minorEastAsia" w:hAnsiTheme="minorEastAsia" w:hint="eastAsia"/>
          <w:sz w:val="24"/>
          <w:szCs w:val="24"/>
        </w:rPr>
        <w:t>公顷，商业用地规模相对较小，平均每宗地3</w:t>
      </w:r>
      <w:r w:rsidR="00073315">
        <w:rPr>
          <w:rFonts w:asciiTheme="minorEastAsia" w:hAnsiTheme="minorEastAsia" w:hint="eastAsia"/>
          <w:sz w:val="24"/>
          <w:szCs w:val="24"/>
        </w:rPr>
        <w:t>.66</w:t>
      </w:r>
      <w:r w:rsidR="003A5913">
        <w:rPr>
          <w:rFonts w:asciiTheme="minorEastAsia" w:hAnsiTheme="minorEastAsia" w:hint="eastAsia"/>
          <w:sz w:val="24"/>
          <w:szCs w:val="24"/>
        </w:rPr>
        <w:t>公顷。</w:t>
      </w:r>
    </w:p>
    <w:p w:rsidR="00A478FF" w:rsidRDefault="00073315" w:rsidP="008F22EB">
      <w:pPr>
        <w:spacing w:line="460" w:lineRule="exact"/>
        <w:ind w:firstLineChars="200" w:firstLine="480"/>
        <w:rPr>
          <w:rFonts w:asciiTheme="minorEastAsia" w:hAnsiTheme="minorEastAsia"/>
          <w:sz w:val="24"/>
          <w:szCs w:val="24"/>
        </w:rPr>
      </w:pPr>
      <w:r w:rsidRPr="00F705A7">
        <w:rPr>
          <w:rFonts w:asciiTheme="minorEastAsia" w:hAnsiTheme="minorEastAsia" w:hint="eastAsia"/>
          <w:sz w:val="24"/>
          <w:szCs w:val="24"/>
        </w:rPr>
        <w:t>从土地出让收入来看，南京市三</w:t>
      </w:r>
      <w:r w:rsidR="00A478FF" w:rsidRPr="00F705A7">
        <w:rPr>
          <w:rFonts w:asciiTheme="minorEastAsia" w:hAnsiTheme="minorEastAsia" w:hint="eastAsia"/>
          <w:sz w:val="24"/>
          <w:szCs w:val="24"/>
        </w:rPr>
        <w:t>季度成交金额</w:t>
      </w:r>
      <w:r w:rsidRPr="00F705A7">
        <w:rPr>
          <w:rFonts w:asciiTheme="minorEastAsia" w:hAnsiTheme="minorEastAsia" w:hint="eastAsia"/>
          <w:sz w:val="24"/>
          <w:szCs w:val="24"/>
        </w:rPr>
        <w:t>191.24</w:t>
      </w:r>
      <w:r w:rsidR="00A478FF" w:rsidRPr="00F705A7">
        <w:rPr>
          <w:rFonts w:asciiTheme="minorEastAsia" w:hAnsiTheme="minorEastAsia" w:hint="eastAsia"/>
          <w:sz w:val="24"/>
          <w:szCs w:val="24"/>
        </w:rPr>
        <w:t>亿元，</w:t>
      </w:r>
      <w:r w:rsidR="00F705A7" w:rsidRPr="00F705A7">
        <w:rPr>
          <w:rFonts w:asciiTheme="minorEastAsia" w:hAnsiTheme="minorEastAsia" w:hint="eastAsia"/>
          <w:sz w:val="24"/>
          <w:szCs w:val="24"/>
        </w:rPr>
        <w:t>同比增长596.18%</w:t>
      </w:r>
      <w:r w:rsidR="00A478FF" w:rsidRPr="00F705A7">
        <w:rPr>
          <w:rFonts w:asciiTheme="minorEastAsia" w:hAnsiTheme="minorEastAsia" w:hint="eastAsia"/>
          <w:sz w:val="24"/>
          <w:szCs w:val="24"/>
        </w:rPr>
        <w:t>，环比增长</w:t>
      </w:r>
      <w:r w:rsidR="00F705A7" w:rsidRPr="00F705A7">
        <w:rPr>
          <w:rFonts w:asciiTheme="minorEastAsia" w:hAnsiTheme="minorEastAsia" w:hint="eastAsia"/>
          <w:sz w:val="24"/>
          <w:szCs w:val="24"/>
        </w:rPr>
        <w:t>63.98</w:t>
      </w:r>
      <w:r w:rsidR="00A478FF" w:rsidRPr="00F705A7">
        <w:rPr>
          <w:rFonts w:asciiTheme="minorEastAsia" w:hAnsiTheme="minorEastAsia" w:hint="eastAsia"/>
          <w:sz w:val="24"/>
          <w:szCs w:val="24"/>
        </w:rPr>
        <w:t>%，总体呈现转暖的趋势。</w:t>
      </w:r>
    </w:p>
    <w:p w:rsidR="003A5913" w:rsidRDefault="003A5913" w:rsidP="008F22EB">
      <w:pPr>
        <w:spacing w:line="460" w:lineRule="exact"/>
        <w:ind w:firstLineChars="200" w:firstLine="480"/>
        <w:rPr>
          <w:rFonts w:asciiTheme="minorEastAsia" w:hAnsiTheme="minorEastAsia"/>
          <w:sz w:val="24"/>
          <w:szCs w:val="24"/>
        </w:rPr>
      </w:pPr>
      <w:r w:rsidRPr="00F705A7">
        <w:rPr>
          <w:rFonts w:asciiTheme="minorEastAsia" w:hAnsiTheme="minorEastAsia" w:hint="eastAsia"/>
          <w:sz w:val="24"/>
          <w:szCs w:val="24"/>
        </w:rPr>
        <w:t>从楼面地价来看，</w:t>
      </w:r>
      <w:r w:rsidR="00F705A7" w:rsidRPr="00F705A7">
        <w:rPr>
          <w:rFonts w:asciiTheme="minorEastAsia" w:hAnsiTheme="minorEastAsia" w:hint="eastAsia"/>
          <w:sz w:val="24"/>
          <w:szCs w:val="24"/>
        </w:rPr>
        <w:t>三</w:t>
      </w:r>
      <w:r w:rsidR="00BB7CAC" w:rsidRPr="00F705A7">
        <w:rPr>
          <w:rFonts w:asciiTheme="minorEastAsia" w:hAnsiTheme="minorEastAsia" w:hint="eastAsia"/>
          <w:sz w:val="24"/>
          <w:szCs w:val="24"/>
        </w:rPr>
        <w:t>季度楼面均价</w:t>
      </w:r>
      <w:r w:rsidR="00073315" w:rsidRPr="00F705A7">
        <w:rPr>
          <w:rFonts w:asciiTheme="minorEastAsia" w:hAnsiTheme="minorEastAsia" w:hint="eastAsia"/>
          <w:sz w:val="24"/>
          <w:szCs w:val="24"/>
        </w:rPr>
        <w:t>7481</w:t>
      </w:r>
      <w:r w:rsidR="00BB7CAC" w:rsidRPr="00F705A7">
        <w:rPr>
          <w:rFonts w:asciiTheme="minorEastAsia" w:hAnsiTheme="minorEastAsia" w:hint="eastAsia"/>
          <w:sz w:val="24"/>
          <w:szCs w:val="24"/>
        </w:rPr>
        <w:t>元/m</w:t>
      </w:r>
      <w:r w:rsidR="00BB7CAC" w:rsidRPr="00F705A7">
        <w:rPr>
          <w:rFonts w:asciiTheme="minorEastAsia" w:hAnsiTheme="minorEastAsia" w:hint="eastAsia"/>
          <w:sz w:val="24"/>
          <w:szCs w:val="24"/>
          <w:vertAlign w:val="superscript"/>
        </w:rPr>
        <w:t>2</w:t>
      </w:r>
      <w:r w:rsidR="00BB7CAC" w:rsidRPr="00F705A7">
        <w:rPr>
          <w:rFonts w:asciiTheme="minorEastAsia" w:hAnsiTheme="minorEastAsia" w:hint="eastAsia"/>
          <w:sz w:val="24"/>
          <w:szCs w:val="24"/>
        </w:rPr>
        <w:t>，同比增加</w:t>
      </w:r>
      <w:r w:rsidR="00F705A7" w:rsidRPr="00F705A7">
        <w:rPr>
          <w:rFonts w:asciiTheme="minorEastAsia" w:hAnsiTheme="minorEastAsia" w:hint="eastAsia"/>
          <w:sz w:val="24"/>
          <w:szCs w:val="24"/>
        </w:rPr>
        <w:t>88.67</w:t>
      </w:r>
      <w:r w:rsidR="00BB7CAC" w:rsidRPr="00F705A7">
        <w:rPr>
          <w:rFonts w:asciiTheme="minorEastAsia" w:hAnsiTheme="minorEastAsia" w:hint="eastAsia"/>
          <w:sz w:val="24"/>
          <w:szCs w:val="24"/>
        </w:rPr>
        <w:t>%，环比</w:t>
      </w:r>
      <w:r w:rsidR="00F705A7" w:rsidRPr="00F705A7">
        <w:rPr>
          <w:rFonts w:asciiTheme="minorEastAsia" w:hAnsiTheme="minorEastAsia" w:hint="eastAsia"/>
          <w:sz w:val="24"/>
          <w:szCs w:val="24"/>
        </w:rPr>
        <w:t>增加14.3</w:t>
      </w:r>
      <w:r w:rsidR="00BB7CAC" w:rsidRPr="00F705A7">
        <w:rPr>
          <w:rFonts w:asciiTheme="minorEastAsia" w:hAnsiTheme="minorEastAsia" w:hint="eastAsia"/>
          <w:sz w:val="24"/>
          <w:szCs w:val="24"/>
        </w:rPr>
        <w:t>%。</w:t>
      </w:r>
      <w:r w:rsidR="009A3CDE">
        <w:rPr>
          <w:rFonts w:asciiTheme="minorEastAsia" w:hAnsiTheme="minorEastAsia" w:hint="eastAsia"/>
          <w:sz w:val="24"/>
          <w:szCs w:val="24"/>
        </w:rPr>
        <w:t>楼面均价同比上升的主要原因一方面成交地块的减少使得优质地块的比例明显提高，另一方面住宅地块成交比例的增加。具体来看，</w:t>
      </w:r>
      <w:r w:rsidR="00073315">
        <w:rPr>
          <w:rFonts w:asciiTheme="minorEastAsia" w:hAnsiTheme="minorEastAsia" w:hint="eastAsia"/>
          <w:sz w:val="24"/>
          <w:szCs w:val="24"/>
        </w:rPr>
        <w:t>商住</w:t>
      </w:r>
      <w:r>
        <w:rPr>
          <w:rFonts w:asciiTheme="minorEastAsia" w:hAnsiTheme="minorEastAsia" w:hint="eastAsia"/>
          <w:sz w:val="24"/>
          <w:szCs w:val="24"/>
        </w:rPr>
        <w:t>用地地价水平最高，达到</w:t>
      </w:r>
      <w:r w:rsidR="00073315">
        <w:rPr>
          <w:rFonts w:asciiTheme="minorEastAsia" w:hAnsiTheme="minorEastAsia" w:hint="eastAsia"/>
          <w:sz w:val="24"/>
          <w:szCs w:val="24"/>
        </w:rPr>
        <w:t>11336</w:t>
      </w:r>
      <w:r>
        <w:rPr>
          <w:rFonts w:asciiTheme="minorEastAsia" w:hAnsiTheme="minorEastAsia" w:hint="eastAsia"/>
          <w:sz w:val="24"/>
          <w:szCs w:val="24"/>
        </w:rPr>
        <w:t>元/m</w:t>
      </w:r>
      <w:r>
        <w:rPr>
          <w:rFonts w:asciiTheme="minorEastAsia" w:hAnsiTheme="minorEastAsia" w:hint="eastAsia"/>
          <w:sz w:val="24"/>
          <w:szCs w:val="24"/>
          <w:vertAlign w:val="superscript"/>
        </w:rPr>
        <w:t>2</w:t>
      </w:r>
      <w:r>
        <w:rPr>
          <w:rFonts w:asciiTheme="minorEastAsia" w:hAnsiTheme="minorEastAsia" w:hint="eastAsia"/>
          <w:sz w:val="24"/>
          <w:szCs w:val="24"/>
        </w:rPr>
        <w:t>，说明南京市住宅需求更大，受到开发商和购房者的欢迎。紧随其后的是</w:t>
      </w:r>
      <w:r w:rsidR="00073315">
        <w:rPr>
          <w:rFonts w:asciiTheme="minorEastAsia" w:hAnsiTheme="minorEastAsia" w:hint="eastAsia"/>
          <w:sz w:val="24"/>
          <w:szCs w:val="24"/>
        </w:rPr>
        <w:t>纯住宅</w:t>
      </w:r>
      <w:r>
        <w:rPr>
          <w:rFonts w:asciiTheme="minorEastAsia" w:hAnsiTheme="minorEastAsia" w:hint="eastAsia"/>
          <w:sz w:val="24"/>
          <w:szCs w:val="24"/>
        </w:rPr>
        <w:t>用地，楼面均价达到</w:t>
      </w:r>
      <w:r w:rsidR="00073315">
        <w:rPr>
          <w:rFonts w:asciiTheme="minorEastAsia" w:hAnsiTheme="minorEastAsia" w:hint="eastAsia"/>
          <w:sz w:val="24"/>
          <w:szCs w:val="24"/>
        </w:rPr>
        <w:t>8387</w:t>
      </w:r>
      <w:r>
        <w:rPr>
          <w:rFonts w:asciiTheme="minorEastAsia" w:hAnsiTheme="minorEastAsia" w:hint="eastAsia"/>
          <w:sz w:val="24"/>
          <w:szCs w:val="24"/>
        </w:rPr>
        <w:t>元/m</w:t>
      </w:r>
      <w:r>
        <w:rPr>
          <w:rFonts w:asciiTheme="minorEastAsia" w:hAnsiTheme="minorEastAsia" w:hint="eastAsia"/>
          <w:sz w:val="24"/>
          <w:szCs w:val="24"/>
          <w:vertAlign w:val="superscript"/>
        </w:rPr>
        <w:t>2</w:t>
      </w:r>
      <w:r>
        <w:rPr>
          <w:rFonts w:asciiTheme="minorEastAsia" w:hAnsiTheme="minorEastAsia" w:hint="eastAsia"/>
          <w:sz w:val="24"/>
          <w:szCs w:val="24"/>
        </w:rPr>
        <w:t>。商业用地楼面均价</w:t>
      </w:r>
      <w:r w:rsidR="00073315">
        <w:rPr>
          <w:rFonts w:asciiTheme="minorEastAsia" w:hAnsiTheme="minorEastAsia" w:hint="eastAsia"/>
          <w:sz w:val="24"/>
          <w:szCs w:val="24"/>
        </w:rPr>
        <w:t>1947</w:t>
      </w:r>
      <w:r w:rsidR="0090606C">
        <w:rPr>
          <w:rFonts w:asciiTheme="minorEastAsia" w:hAnsiTheme="minorEastAsia" w:hint="eastAsia"/>
          <w:sz w:val="24"/>
          <w:szCs w:val="24"/>
        </w:rPr>
        <w:t>元/m</w:t>
      </w:r>
      <w:r w:rsidR="0090606C">
        <w:rPr>
          <w:rFonts w:asciiTheme="minorEastAsia" w:hAnsiTheme="minorEastAsia" w:hint="eastAsia"/>
          <w:sz w:val="24"/>
          <w:szCs w:val="24"/>
          <w:vertAlign w:val="superscript"/>
        </w:rPr>
        <w:t>2</w:t>
      </w:r>
      <w:r w:rsidR="00477CD0">
        <w:rPr>
          <w:rFonts w:asciiTheme="minorEastAsia" w:hAnsiTheme="minorEastAsia" w:hint="eastAsia"/>
          <w:sz w:val="24"/>
          <w:szCs w:val="24"/>
        </w:rPr>
        <w:t>。</w:t>
      </w:r>
    </w:p>
    <w:p w:rsidR="008A53EE" w:rsidRDefault="00477CD0" w:rsidP="00225C00">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lastRenderedPageBreak/>
        <w:t>从地块竞价程度来看，</w:t>
      </w:r>
      <w:r w:rsidR="00091923">
        <w:rPr>
          <w:rFonts w:asciiTheme="minorEastAsia" w:hAnsiTheme="minorEastAsia" w:hint="eastAsia"/>
          <w:sz w:val="24"/>
          <w:szCs w:val="24"/>
        </w:rPr>
        <w:t>南京市溢价地块</w:t>
      </w:r>
      <w:r w:rsidR="00650FC9">
        <w:rPr>
          <w:rFonts w:asciiTheme="minorEastAsia" w:hAnsiTheme="minorEastAsia" w:hint="eastAsia"/>
          <w:sz w:val="24"/>
          <w:szCs w:val="24"/>
        </w:rPr>
        <w:t>13</w:t>
      </w:r>
      <w:r w:rsidR="00091923">
        <w:rPr>
          <w:rFonts w:asciiTheme="minorEastAsia" w:hAnsiTheme="minorEastAsia" w:hint="eastAsia"/>
          <w:sz w:val="24"/>
          <w:szCs w:val="24"/>
        </w:rPr>
        <w:t>宗，</w:t>
      </w:r>
      <w:r w:rsidR="00304658">
        <w:rPr>
          <w:rFonts w:asciiTheme="minorEastAsia" w:hAnsiTheme="minorEastAsia" w:hint="eastAsia"/>
          <w:sz w:val="24"/>
          <w:szCs w:val="24"/>
        </w:rPr>
        <w:t>占到</w:t>
      </w:r>
      <w:r w:rsidR="00091923">
        <w:rPr>
          <w:rFonts w:asciiTheme="minorEastAsia" w:hAnsiTheme="minorEastAsia" w:hint="eastAsia"/>
          <w:sz w:val="24"/>
          <w:szCs w:val="24"/>
        </w:rPr>
        <w:t>成交地块的</w:t>
      </w:r>
      <w:r w:rsidR="00650FC9">
        <w:rPr>
          <w:rFonts w:asciiTheme="minorEastAsia" w:hAnsiTheme="minorEastAsia" w:hint="eastAsia"/>
          <w:sz w:val="24"/>
          <w:szCs w:val="24"/>
        </w:rPr>
        <w:t>76</w:t>
      </w:r>
      <w:r w:rsidR="00091923">
        <w:rPr>
          <w:rFonts w:asciiTheme="minorEastAsia" w:hAnsiTheme="minorEastAsia" w:hint="eastAsia"/>
          <w:sz w:val="24"/>
          <w:szCs w:val="24"/>
        </w:rPr>
        <w:t>%，总体来看土地市场竞争相对激烈。分用途来看，纯住宅用地溢价地块占主导，溢价地块占到该用途的</w:t>
      </w:r>
      <w:r w:rsidR="00650FC9">
        <w:rPr>
          <w:rFonts w:asciiTheme="minorEastAsia" w:hAnsiTheme="minorEastAsia" w:hint="eastAsia"/>
          <w:sz w:val="24"/>
          <w:szCs w:val="24"/>
        </w:rPr>
        <w:t>10</w:t>
      </w:r>
      <w:r w:rsidR="00091923">
        <w:rPr>
          <w:rFonts w:asciiTheme="minorEastAsia" w:hAnsiTheme="minorEastAsia" w:hint="eastAsia"/>
          <w:sz w:val="24"/>
          <w:szCs w:val="24"/>
        </w:rPr>
        <w:t>0%，也可以看出</w:t>
      </w:r>
      <w:r>
        <w:rPr>
          <w:rFonts w:asciiTheme="minorEastAsia" w:hAnsiTheme="minorEastAsia" w:hint="eastAsia"/>
          <w:sz w:val="24"/>
          <w:szCs w:val="24"/>
        </w:rPr>
        <w:t>纯住宅用地</w:t>
      </w:r>
      <w:r w:rsidR="00091923">
        <w:rPr>
          <w:rFonts w:asciiTheme="minorEastAsia" w:hAnsiTheme="minorEastAsia" w:hint="eastAsia"/>
          <w:sz w:val="24"/>
          <w:szCs w:val="24"/>
        </w:rPr>
        <w:t>更受欢迎。商住用地溢价</w:t>
      </w:r>
      <w:r w:rsidR="00650FC9">
        <w:rPr>
          <w:rFonts w:asciiTheme="minorEastAsia" w:hAnsiTheme="minorEastAsia" w:hint="eastAsia"/>
          <w:sz w:val="24"/>
          <w:szCs w:val="24"/>
        </w:rPr>
        <w:t>6</w:t>
      </w:r>
      <w:r w:rsidR="00091923">
        <w:rPr>
          <w:rFonts w:asciiTheme="minorEastAsia" w:hAnsiTheme="minorEastAsia" w:hint="eastAsia"/>
          <w:sz w:val="24"/>
          <w:szCs w:val="24"/>
        </w:rPr>
        <w:t>宗，市场竞争</w:t>
      </w:r>
      <w:r w:rsidR="00650FC9">
        <w:rPr>
          <w:rFonts w:asciiTheme="minorEastAsia" w:hAnsiTheme="minorEastAsia" w:hint="eastAsia"/>
          <w:sz w:val="24"/>
          <w:szCs w:val="24"/>
        </w:rPr>
        <w:t>也非常激烈。商业用地在三</w:t>
      </w:r>
      <w:r w:rsidR="00091923">
        <w:rPr>
          <w:rFonts w:asciiTheme="minorEastAsia" w:hAnsiTheme="minorEastAsia" w:hint="eastAsia"/>
          <w:sz w:val="24"/>
          <w:szCs w:val="24"/>
        </w:rPr>
        <w:t>季度溢价地块</w:t>
      </w:r>
      <w:r w:rsidR="00650FC9">
        <w:rPr>
          <w:rFonts w:asciiTheme="minorEastAsia" w:hAnsiTheme="minorEastAsia" w:hint="eastAsia"/>
          <w:sz w:val="24"/>
          <w:szCs w:val="24"/>
        </w:rPr>
        <w:t>为1宗</w:t>
      </w:r>
      <w:r w:rsidR="00091923">
        <w:rPr>
          <w:rFonts w:asciiTheme="minorEastAsia" w:hAnsiTheme="minorEastAsia" w:hint="eastAsia"/>
          <w:sz w:val="24"/>
          <w:szCs w:val="24"/>
        </w:rPr>
        <w:t>。</w:t>
      </w:r>
    </w:p>
    <w:p w:rsidR="00C03D60" w:rsidRPr="00885951" w:rsidRDefault="00C03D60" w:rsidP="00C03D60">
      <w:pPr>
        <w:spacing w:line="360" w:lineRule="auto"/>
        <w:jc w:val="center"/>
        <w:rPr>
          <w:rFonts w:asciiTheme="minorEastAsia" w:hAnsiTheme="minorEastAsia"/>
          <w:b/>
          <w:sz w:val="24"/>
          <w:szCs w:val="24"/>
        </w:rPr>
      </w:pPr>
      <w:r w:rsidRPr="00885951">
        <w:rPr>
          <w:rFonts w:asciiTheme="minorEastAsia" w:hAnsiTheme="minorEastAsia" w:hint="eastAsia"/>
          <w:b/>
          <w:szCs w:val="21"/>
        </w:rPr>
        <w:t>表</w:t>
      </w:r>
      <w:r w:rsidR="00885951" w:rsidRPr="00885951">
        <w:rPr>
          <w:rFonts w:asciiTheme="minorEastAsia" w:hAnsiTheme="minorEastAsia" w:hint="eastAsia"/>
          <w:b/>
          <w:szCs w:val="21"/>
        </w:rPr>
        <w:t>3</w:t>
      </w:r>
      <w:r w:rsidRPr="00885951">
        <w:rPr>
          <w:rFonts w:asciiTheme="minorEastAsia" w:hAnsiTheme="minorEastAsia" w:hint="eastAsia"/>
          <w:b/>
          <w:szCs w:val="21"/>
        </w:rPr>
        <w:t xml:space="preserve"> 2015</w:t>
      </w:r>
      <w:r w:rsidR="00F45C04">
        <w:rPr>
          <w:rFonts w:asciiTheme="minorEastAsia" w:hAnsiTheme="minorEastAsia" w:hint="eastAsia"/>
          <w:b/>
          <w:szCs w:val="21"/>
        </w:rPr>
        <w:t>年三</w:t>
      </w:r>
      <w:r w:rsidRPr="00885951">
        <w:rPr>
          <w:rFonts w:asciiTheme="minorEastAsia" w:hAnsiTheme="minorEastAsia" w:hint="eastAsia"/>
          <w:b/>
          <w:szCs w:val="21"/>
        </w:rPr>
        <w:t>季度南京市土地市场成交情况</w:t>
      </w:r>
    </w:p>
    <w:tbl>
      <w:tblPr>
        <w:tblW w:w="5053" w:type="pct"/>
        <w:tblLayout w:type="fixed"/>
        <w:tblLook w:val="04A0" w:firstRow="1" w:lastRow="0" w:firstColumn="1" w:lastColumn="0" w:noHBand="0" w:noVBand="1"/>
      </w:tblPr>
      <w:tblGrid>
        <w:gridCol w:w="962"/>
        <w:gridCol w:w="571"/>
        <w:gridCol w:w="908"/>
        <w:gridCol w:w="932"/>
        <w:gridCol w:w="990"/>
        <w:gridCol w:w="994"/>
        <w:gridCol w:w="849"/>
        <w:gridCol w:w="711"/>
        <w:gridCol w:w="706"/>
        <w:gridCol w:w="989"/>
      </w:tblGrid>
      <w:tr w:rsidR="009B2D9C" w:rsidRPr="009B2D9C" w:rsidTr="00650FC9">
        <w:trPr>
          <w:trHeight w:val="540"/>
        </w:trPr>
        <w:tc>
          <w:tcPr>
            <w:tcW w:w="558" w:type="pc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9B2D9C" w:rsidRPr="004550CA" w:rsidRDefault="009B2D9C" w:rsidP="009B2D9C">
            <w:pPr>
              <w:widowControl/>
              <w:jc w:val="center"/>
              <w:rPr>
                <w:rFonts w:ascii="宋体" w:eastAsia="宋体" w:hAnsi="宋体" w:cs="宋体"/>
                <w:b/>
                <w:color w:val="000000"/>
                <w:kern w:val="0"/>
                <w:szCs w:val="21"/>
              </w:rPr>
            </w:pPr>
            <w:r w:rsidRPr="004550CA">
              <w:rPr>
                <w:rFonts w:ascii="宋体" w:eastAsia="宋体" w:hAnsi="宋体" w:cs="宋体" w:hint="eastAsia"/>
                <w:b/>
                <w:color w:val="000000"/>
                <w:kern w:val="0"/>
                <w:szCs w:val="21"/>
              </w:rPr>
              <w:t>用途</w:t>
            </w:r>
          </w:p>
        </w:tc>
        <w:tc>
          <w:tcPr>
            <w:tcW w:w="331" w:type="pct"/>
            <w:tcBorders>
              <w:top w:val="single" w:sz="4" w:space="0" w:color="auto"/>
              <w:left w:val="nil"/>
              <w:bottom w:val="single" w:sz="4" w:space="0" w:color="auto"/>
              <w:right w:val="single" w:sz="4" w:space="0" w:color="auto"/>
            </w:tcBorders>
            <w:shd w:val="clear" w:color="000000" w:fill="D7E4BC"/>
            <w:noWrap/>
            <w:vAlign w:val="center"/>
            <w:hideMark/>
          </w:tcPr>
          <w:p w:rsidR="009B2D9C" w:rsidRPr="004550CA" w:rsidRDefault="009B2D9C" w:rsidP="009B2D9C">
            <w:pPr>
              <w:widowControl/>
              <w:jc w:val="center"/>
              <w:rPr>
                <w:rFonts w:ascii="宋体" w:eastAsia="宋体" w:hAnsi="宋体" w:cs="宋体"/>
                <w:b/>
                <w:color w:val="000000"/>
                <w:kern w:val="0"/>
                <w:szCs w:val="21"/>
              </w:rPr>
            </w:pPr>
            <w:r w:rsidRPr="004550CA">
              <w:rPr>
                <w:rFonts w:ascii="宋体" w:eastAsia="宋体" w:hAnsi="宋体" w:cs="宋体" w:hint="eastAsia"/>
                <w:b/>
                <w:color w:val="000000"/>
                <w:kern w:val="0"/>
                <w:szCs w:val="21"/>
              </w:rPr>
              <w:t>宗数</w:t>
            </w:r>
          </w:p>
        </w:tc>
        <w:tc>
          <w:tcPr>
            <w:tcW w:w="527" w:type="pct"/>
            <w:tcBorders>
              <w:top w:val="single" w:sz="4" w:space="0" w:color="auto"/>
              <w:left w:val="nil"/>
              <w:bottom w:val="single" w:sz="4" w:space="0" w:color="auto"/>
              <w:right w:val="single" w:sz="4" w:space="0" w:color="auto"/>
            </w:tcBorders>
            <w:shd w:val="clear" w:color="000000" w:fill="D7E4BC"/>
            <w:vAlign w:val="center"/>
            <w:hideMark/>
          </w:tcPr>
          <w:p w:rsidR="009B2D9C" w:rsidRPr="004550CA" w:rsidRDefault="009B2D9C" w:rsidP="009B2D9C">
            <w:pPr>
              <w:widowControl/>
              <w:jc w:val="center"/>
              <w:rPr>
                <w:rFonts w:ascii="宋体" w:eastAsia="宋体" w:hAnsi="宋体" w:cs="宋体"/>
                <w:b/>
                <w:color w:val="000000"/>
                <w:kern w:val="0"/>
                <w:szCs w:val="21"/>
              </w:rPr>
            </w:pPr>
            <w:r w:rsidRPr="004550CA">
              <w:rPr>
                <w:rFonts w:ascii="宋体" w:eastAsia="宋体" w:hAnsi="宋体" w:cs="宋体" w:hint="eastAsia"/>
                <w:b/>
                <w:color w:val="000000"/>
                <w:kern w:val="0"/>
                <w:szCs w:val="21"/>
              </w:rPr>
              <w:t>成交金额（亿元）</w:t>
            </w:r>
          </w:p>
        </w:tc>
        <w:tc>
          <w:tcPr>
            <w:tcW w:w="541" w:type="pct"/>
            <w:tcBorders>
              <w:top w:val="single" w:sz="4" w:space="0" w:color="auto"/>
              <w:left w:val="nil"/>
              <w:bottom w:val="single" w:sz="4" w:space="0" w:color="auto"/>
              <w:right w:val="single" w:sz="4" w:space="0" w:color="auto"/>
            </w:tcBorders>
            <w:shd w:val="clear" w:color="000000" w:fill="D7E4BC"/>
            <w:vAlign w:val="center"/>
            <w:hideMark/>
          </w:tcPr>
          <w:p w:rsidR="009B2D9C" w:rsidRPr="004550CA" w:rsidRDefault="009B2D9C" w:rsidP="009B2D9C">
            <w:pPr>
              <w:widowControl/>
              <w:jc w:val="center"/>
              <w:rPr>
                <w:rFonts w:ascii="宋体" w:eastAsia="宋体" w:hAnsi="宋体" w:cs="宋体"/>
                <w:b/>
                <w:color w:val="000000"/>
                <w:kern w:val="0"/>
                <w:szCs w:val="21"/>
              </w:rPr>
            </w:pPr>
            <w:r w:rsidRPr="004550CA">
              <w:rPr>
                <w:rFonts w:ascii="宋体" w:eastAsia="宋体" w:hAnsi="宋体" w:cs="宋体" w:hint="eastAsia"/>
                <w:b/>
                <w:color w:val="000000"/>
                <w:kern w:val="0"/>
                <w:szCs w:val="21"/>
              </w:rPr>
              <w:t>宗地面积（万m2）</w:t>
            </w:r>
          </w:p>
        </w:tc>
        <w:tc>
          <w:tcPr>
            <w:tcW w:w="575" w:type="pct"/>
            <w:tcBorders>
              <w:top w:val="single" w:sz="4" w:space="0" w:color="auto"/>
              <w:left w:val="nil"/>
              <w:bottom w:val="single" w:sz="4" w:space="0" w:color="auto"/>
              <w:right w:val="single" w:sz="4" w:space="0" w:color="auto"/>
            </w:tcBorders>
            <w:shd w:val="clear" w:color="000000" w:fill="D7E4BC"/>
            <w:vAlign w:val="center"/>
            <w:hideMark/>
          </w:tcPr>
          <w:p w:rsidR="009B2D9C" w:rsidRPr="004550CA" w:rsidRDefault="009B2D9C" w:rsidP="009B2D9C">
            <w:pPr>
              <w:widowControl/>
              <w:jc w:val="center"/>
              <w:rPr>
                <w:rFonts w:ascii="宋体" w:eastAsia="宋体" w:hAnsi="宋体" w:cs="宋体"/>
                <w:b/>
                <w:color w:val="000000"/>
                <w:kern w:val="0"/>
                <w:szCs w:val="21"/>
              </w:rPr>
            </w:pPr>
            <w:r w:rsidRPr="004550CA">
              <w:rPr>
                <w:rFonts w:ascii="宋体" w:eastAsia="宋体" w:hAnsi="宋体" w:cs="宋体" w:hint="eastAsia"/>
                <w:b/>
                <w:color w:val="000000"/>
                <w:kern w:val="0"/>
                <w:szCs w:val="21"/>
              </w:rPr>
              <w:t>平均规模（万m2）</w:t>
            </w:r>
          </w:p>
        </w:tc>
        <w:tc>
          <w:tcPr>
            <w:tcW w:w="577" w:type="pct"/>
            <w:tcBorders>
              <w:top w:val="single" w:sz="4" w:space="0" w:color="auto"/>
              <w:left w:val="nil"/>
              <w:bottom w:val="single" w:sz="4" w:space="0" w:color="auto"/>
              <w:right w:val="single" w:sz="4" w:space="0" w:color="auto"/>
            </w:tcBorders>
            <w:shd w:val="clear" w:color="000000" w:fill="D7E4BC"/>
            <w:vAlign w:val="center"/>
            <w:hideMark/>
          </w:tcPr>
          <w:p w:rsidR="009B2D9C" w:rsidRPr="004550CA" w:rsidRDefault="009B2D9C" w:rsidP="009B2D9C">
            <w:pPr>
              <w:widowControl/>
              <w:jc w:val="center"/>
              <w:rPr>
                <w:rFonts w:ascii="宋体" w:eastAsia="宋体" w:hAnsi="宋体" w:cs="宋体"/>
                <w:b/>
                <w:color w:val="000000"/>
                <w:kern w:val="0"/>
                <w:szCs w:val="21"/>
              </w:rPr>
            </w:pPr>
            <w:r w:rsidRPr="004550CA">
              <w:rPr>
                <w:rFonts w:ascii="宋体" w:eastAsia="宋体" w:hAnsi="宋体" w:cs="宋体" w:hint="eastAsia"/>
                <w:b/>
                <w:color w:val="000000"/>
                <w:kern w:val="0"/>
                <w:szCs w:val="21"/>
              </w:rPr>
              <w:t>建筑面积（万m2）</w:t>
            </w:r>
          </w:p>
        </w:tc>
        <w:tc>
          <w:tcPr>
            <w:tcW w:w="493" w:type="pct"/>
            <w:tcBorders>
              <w:top w:val="single" w:sz="4" w:space="0" w:color="auto"/>
              <w:left w:val="nil"/>
              <w:bottom w:val="single" w:sz="4" w:space="0" w:color="auto"/>
              <w:right w:val="single" w:sz="4" w:space="0" w:color="auto"/>
            </w:tcBorders>
            <w:shd w:val="clear" w:color="000000" w:fill="D7E4BC"/>
            <w:vAlign w:val="center"/>
            <w:hideMark/>
          </w:tcPr>
          <w:p w:rsidR="009B2D9C" w:rsidRPr="004550CA" w:rsidRDefault="009B2D9C" w:rsidP="009B2D9C">
            <w:pPr>
              <w:widowControl/>
              <w:jc w:val="center"/>
              <w:rPr>
                <w:rFonts w:ascii="宋体" w:eastAsia="宋体" w:hAnsi="宋体" w:cs="宋体"/>
                <w:b/>
                <w:color w:val="000000"/>
                <w:kern w:val="0"/>
                <w:szCs w:val="21"/>
              </w:rPr>
            </w:pPr>
            <w:r w:rsidRPr="004550CA">
              <w:rPr>
                <w:rFonts w:ascii="宋体" w:eastAsia="宋体" w:hAnsi="宋体" w:cs="宋体" w:hint="eastAsia"/>
                <w:b/>
                <w:color w:val="000000"/>
                <w:kern w:val="0"/>
                <w:szCs w:val="21"/>
              </w:rPr>
              <w:t>平均容积率</w:t>
            </w:r>
          </w:p>
        </w:tc>
        <w:tc>
          <w:tcPr>
            <w:tcW w:w="413" w:type="pct"/>
            <w:tcBorders>
              <w:top w:val="single" w:sz="4" w:space="0" w:color="auto"/>
              <w:left w:val="nil"/>
              <w:bottom w:val="single" w:sz="4" w:space="0" w:color="auto"/>
              <w:right w:val="single" w:sz="4" w:space="0" w:color="auto"/>
            </w:tcBorders>
            <w:shd w:val="clear" w:color="000000" w:fill="D7E4BC"/>
            <w:noWrap/>
            <w:vAlign w:val="center"/>
            <w:hideMark/>
          </w:tcPr>
          <w:p w:rsidR="009B2D9C" w:rsidRPr="004550CA" w:rsidRDefault="009B2D9C" w:rsidP="009B2D9C">
            <w:pPr>
              <w:widowControl/>
              <w:jc w:val="center"/>
              <w:rPr>
                <w:rFonts w:ascii="宋体" w:eastAsia="宋体" w:hAnsi="宋体" w:cs="宋体"/>
                <w:b/>
                <w:color w:val="000000"/>
                <w:kern w:val="0"/>
                <w:szCs w:val="21"/>
              </w:rPr>
            </w:pPr>
            <w:r w:rsidRPr="004550CA">
              <w:rPr>
                <w:rFonts w:ascii="宋体" w:eastAsia="宋体" w:hAnsi="宋体" w:cs="宋体" w:hint="eastAsia"/>
                <w:b/>
                <w:color w:val="000000"/>
                <w:kern w:val="0"/>
                <w:szCs w:val="21"/>
              </w:rPr>
              <w:t>楼面均价</w:t>
            </w:r>
          </w:p>
        </w:tc>
        <w:tc>
          <w:tcPr>
            <w:tcW w:w="410" w:type="pct"/>
            <w:tcBorders>
              <w:top w:val="single" w:sz="4" w:space="0" w:color="auto"/>
              <w:left w:val="nil"/>
              <w:bottom w:val="single" w:sz="4" w:space="0" w:color="auto"/>
              <w:right w:val="single" w:sz="4" w:space="0" w:color="auto"/>
            </w:tcBorders>
            <w:shd w:val="clear" w:color="000000" w:fill="D7E4BC"/>
            <w:noWrap/>
            <w:vAlign w:val="center"/>
            <w:hideMark/>
          </w:tcPr>
          <w:p w:rsidR="009B2D9C" w:rsidRPr="004550CA" w:rsidRDefault="009B2D9C" w:rsidP="009B2D9C">
            <w:pPr>
              <w:widowControl/>
              <w:jc w:val="center"/>
              <w:rPr>
                <w:rFonts w:ascii="宋体" w:eastAsia="宋体" w:hAnsi="宋体" w:cs="宋体"/>
                <w:b/>
                <w:color w:val="000000"/>
                <w:kern w:val="0"/>
                <w:szCs w:val="21"/>
              </w:rPr>
            </w:pPr>
            <w:r w:rsidRPr="004550CA">
              <w:rPr>
                <w:rFonts w:ascii="宋体" w:eastAsia="宋体" w:hAnsi="宋体" w:cs="宋体" w:hint="eastAsia"/>
                <w:b/>
                <w:color w:val="000000"/>
                <w:kern w:val="0"/>
                <w:szCs w:val="21"/>
              </w:rPr>
              <w:t>溢价地块</w:t>
            </w:r>
          </w:p>
        </w:tc>
        <w:tc>
          <w:tcPr>
            <w:tcW w:w="574" w:type="pct"/>
            <w:tcBorders>
              <w:top w:val="single" w:sz="4" w:space="0" w:color="auto"/>
              <w:left w:val="nil"/>
              <w:bottom w:val="single" w:sz="4" w:space="0" w:color="auto"/>
              <w:right w:val="single" w:sz="4" w:space="0" w:color="auto"/>
            </w:tcBorders>
            <w:shd w:val="clear" w:color="000000" w:fill="D7E4BC"/>
            <w:vAlign w:val="center"/>
            <w:hideMark/>
          </w:tcPr>
          <w:p w:rsidR="009B2D9C" w:rsidRPr="004550CA" w:rsidRDefault="009B2D9C" w:rsidP="009B2D9C">
            <w:pPr>
              <w:widowControl/>
              <w:jc w:val="center"/>
              <w:rPr>
                <w:rFonts w:ascii="宋体" w:eastAsia="宋体" w:hAnsi="宋体" w:cs="宋体"/>
                <w:b/>
                <w:color w:val="000000"/>
                <w:kern w:val="0"/>
                <w:szCs w:val="21"/>
              </w:rPr>
            </w:pPr>
            <w:r w:rsidRPr="004550CA">
              <w:rPr>
                <w:rFonts w:ascii="宋体" w:eastAsia="宋体" w:hAnsi="宋体" w:cs="宋体" w:hint="eastAsia"/>
                <w:b/>
                <w:color w:val="000000"/>
                <w:kern w:val="0"/>
                <w:szCs w:val="21"/>
              </w:rPr>
              <w:t>溢价率</w:t>
            </w:r>
          </w:p>
        </w:tc>
      </w:tr>
      <w:tr w:rsidR="00650FC9" w:rsidRPr="009B2D9C" w:rsidTr="00650FC9">
        <w:trPr>
          <w:trHeight w:val="270"/>
        </w:trPr>
        <w:tc>
          <w:tcPr>
            <w:tcW w:w="558" w:type="pct"/>
            <w:tcBorders>
              <w:top w:val="nil"/>
              <w:left w:val="single" w:sz="4" w:space="0" w:color="auto"/>
              <w:bottom w:val="single" w:sz="4" w:space="0" w:color="auto"/>
              <w:right w:val="single" w:sz="4" w:space="0" w:color="auto"/>
            </w:tcBorders>
            <w:shd w:val="clear" w:color="auto" w:fill="auto"/>
            <w:noWrap/>
            <w:vAlign w:val="center"/>
            <w:hideMark/>
          </w:tcPr>
          <w:p w:rsidR="00650FC9" w:rsidRPr="00A8388F" w:rsidRDefault="00650FC9" w:rsidP="009B2D9C">
            <w:pPr>
              <w:widowControl/>
              <w:jc w:val="center"/>
              <w:rPr>
                <w:rFonts w:ascii="宋体" w:eastAsia="宋体" w:hAnsi="宋体" w:cs="宋体"/>
                <w:b/>
                <w:color w:val="000000"/>
                <w:kern w:val="0"/>
                <w:szCs w:val="21"/>
              </w:rPr>
            </w:pPr>
            <w:r w:rsidRPr="00A8388F">
              <w:rPr>
                <w:rFonts w:ascii="宋体" w:eastAsia="宋体" w:hAnsi="宋体" w:cs="宋体" w:hint="eastAsia"/>
                <w:b/>
                <w:color w:val="000000"/>
                <w:kern w:val="0"/>
                <w:szCs w:val="21"/>
              </w:rPr>
              <w:t>纯住宅</w:t>
            </w:r>
          </w:p>
        </w:tc>
        <w:tc>
          <w:tcPr>
            <w:tcW w:w="331" w:type="pct"/>
            <w:tcBorders>
              <w:top w:val="nil"/>
              <w:left w:val="nil"/>
              <w:bottom w:val="single" w:sz="4" w:space="0" w:color="auto"/>
              <w:right w:val="single" w:sz="4" w:space="0" w:color="auto"/>
            </w:tcBorders>
            <w:shd w:val="clear" w:color="auto" w:fill="auto"/>
            <w:noWrap/>
            <w:vAlign w:val="center"/>
            <w:hideMark/>
          </w:tcPr>
          <w:p w:rsidR="00650FC9" w:rsidRDefault="00650FC9">
            <w:pPr>
              <w:jc w:val="center"/>
              <w:rPr>
                <w:rFonts w:ascii="宋体" w:eastAsia="宋体" w:hAnsi="宋体" w:cs="宋体"/>
                <w:color w:val="000000"/>
                <w:sz w:val="22"/>
              </w:rPr>
            </w:pPr>
            <w:r>
              <w:rPr>
                <w:rFonts w:hint="eastAsia"/>
                <w:color w:val="000000"/>
                <w:sz w:val="22"/>
              </w:rPr>
              <w:t>6</w:t>
            </w:r>
          </w:p>
        </w:tc>
        <w:tc>
          <w:tcPr>
            <w:tcW w:w="527" w:type="pct"/>
            <w:tcBorders>
              <w:top w:val="nil"/>
              <w:left w:val="nil"/>
              <w:bottom w:val="single" w:sz="4" w:space="0" w:color="auto"/>
              <w:right w:val="single" w:sz="4" w:space="0" w:color="auto"/>
            </w:tcBorders>
            <w:shd w:val="clear" w:color="auto" w:fill="auto"/>
            <w:noWrap/>
            <w:vAlign w:val="center"/>
            <w:hideMark/>
          </w:tcPr>
          <w:p w:rsidR="00650FC9" w:rsidRDefault="00650FC9">
            <w:pPr>
              <w:jc w:val="center"/>
              <w:rPr>
                <w:rFonts w:ascii="宋体" w:eastAsia="宋体" w:hAnsi="宋体" w:cs="宋体"/>
                <w:color w:val="000000"/>
                <w:sz w:val="22"/>
              </w:rPr>
            </w:pPr>
            <w:r>
              <w:rPr>
                <w:rFonts w:hint="eastAsia"/>
                <w:color w:val="000000"/>
                <w:sz w:val="22"/>
              </w:rPr>
              <w:t>58.79</w:t>
            </w:r>
          </w:p>
        </w:tc>
        <w:tc>
          <w:tcPr>
            <w:tcW w:w="541" w:type="pct"/>
            <w:tcBorders>
              <w:top w:val="nil"/>
              <w:left w:val="nil"/>
              <w:bottom w:val="single" w:sz="4" w:space="0" w:color="auto"/>
              <w:right w:val="single" w:sz="4" w:space="0" w:color="auto"/>
            </w:tcBorders>
            <w:shd w:val="clear" w:color="auto" w:fill="auto"/>
            <w:noWrap/>
            <w:vAlign w:val="center"/>
            <w:hideMark/>
          </w:tcPr>
          <w:p w:rsidR="00650FC9" w:rsidRDefault="00650FC9">
            <w:pPr>
              <w:jc w:val="center"/>
              <w:rPr>
                <w:rFonts w:ascii="宋体" w:eastAsia="宋体" w:hAnsi="宋体" w:cs="宋体"/>
                <w:color w:val="000000"/>
                <w:sz w:val="22"/>
              </w:rPr>
            </w:pPr>
            <w:r>
              <w:rPr>
                <w:rFonts w:hint="eastAsia"/>
                <w:color w:val="000000"/>
                <w:sz w:val="22"/>
              </w:rPr>
              <w:t>30.05</w:t>
            </w:r>
          </w:p>
        </w:tc>
        <w:tc>
          <w:tcPr>
            <w:tcW w:w="575" w:type="pct"/>
            <w:tcBorders>
              <w:top w:val="nil"/>
              <w:left w:val="nil"/>
              <w:bottom w:val="single" w:sz="4" w:space="0" w:color="auto"/>
              <w:right w:val="single" w:sz="4" w:space="0" w:color="auto"/>
            </w:tcBorders>
            <w:shd w:val="clear" w:color="auto" w:fill="auto"/>
            <w:noWrap/>
            <w:vAlign w:val="bottom"/>
            <w:hideMark/>
          </w:tcPr>
          <w:p w:rsidR="00650FC9" w:rsidRDefault="00650FC9">
            <w:pPr>
              <w:jc w:val="center"/>
              <w:rPr>
                <w:rFonts w:ascii="宋体" w:eastAsia="宋体" w:hAnsi="宋体" w:cs="宋体"/>
                <w:color w:val="000000"/>
                <w:sz w:val="22"/>
              </w:rPr>
            </w:pPr>
            <w:r>
              <w:rPr>
                <w:rFonts w:hint="eastAsia"/>
                <w:color w:val="000000"/>
                <w:sz w:val="22"/>
              </w:rPr>
              <w:t xml:space="preserve">5.01 </w:t>
            </w:r>
          </w:p>
        </w:tc>
        <w:tc>
          <w:tcPr>
            <w:tcW w:w="577" w:type="pct"/>
            <w:tcBorders>
              <w:top w:val="nil"/>
              <w:left w:val="nil"/>
              <w:bottom w:val="single" w:sz="4" w:space="0" w:color="auto"/>
              <w:right w:val="single" w:sz="4" w:space="0" w:color="auto"/>
            </w:tcBorders>
            <w:shd w:val="clear" w:color="auto" w:fill="auto"/>
            <w:noWrap/>
            <w:vAlign w:val="center"/>
            <w:hideMark/>
          </w:tcPr>
          <w:p w:rsidR="00650FC9" w:rsidRDefault="00650FC9">
            <w:pPr>
              <w:jc w:val="center"/>
              <w:rPr>
                <w:rFonts w:ascii="宋体" w:eastAsia="宋体" w:hAnsi="宋体" w:cs="宋体"/>
                <w:color w:val="000000"/>
                <w:sz w:val="22"/>
              </w:rPr>
            </w:pPr>
            <w:r>
              <w:rPr>
                <w:rFonts w:hint="eastAsia"/>
                <w:color w:val="000000"/>
                <w:sz w:val="22"/>
              </w:rPr>
              <w:t>70.09</w:t>
            </w:r>
          </w:p>
        </w:tc>
        <w:tc>
          <w:tcPr>
            <w:tcW w:w="493" w:type="pct"/>
            <w:tcBorders>
              <w:top w:val="nil"/>
              <w:left w:val="nil"/>
              <w:bottom w:val="single" w:sz="4" w:space="0" w:color="auto"/>
              <w:right w:val="single" w:sz="4" w:space="0" w:color="auto"/>
            </w:tcBorders>
            <w:shd w:val="clear" w:color="auto" w:fill="auto"/>
            <w:noWrap/>
            <w:vAlign w:val="center"/>
            <w:hideMark/>
          </w:tcPr>
          <w:p w:rsidR="00650FC9" w:rsidRDefault="00650FC9">
            <w:pPr>
              <w:jc w:val="center"/>
              <w:rPr>
                <w:rFonts w:ascii="宋体" w:eastAsia="宋体" w:hAnsi="宋体" w:cs="宋体"/>
                <w:color w:val="000000"/>
                <w:sz w:val="22"/>
              </w:rPr>
            </w:pPr>
            <w:r>
              <w:rPr>
                <w:rFonts w:hint="eastAsia"/>
                <w:color w:val="000000"/>
                <w:sz w:val="22"/>
              </w:rPr>
              <w:t xml:space="preserve">2.33 </w:t>
            </w:r>
          </w:p>
        </w:tc>
        <w:tc>
          <w:tcPr>
            <w:tcW w:w="413" w:type="pct"/>
            <w:tcBorders>
              <w:top w:val="nil"/>
              <w:left w:val="nil"/>
              <w:bottom w:val="single" w:sz="4" w:space="0" w:color="auto"/>
              <w:right w:val="single" w:sz="4" w:space="0" w:color="auto"/>
            </w:tcBorders>
            <w:shd w:val="clear" w:color="auto" w:fill="auto"/>
            <w:noWrap/>
            <w:vAlign w:val="bottom"/>
            <w:hideMark/>
          </w:tcPr>
          <w:p w:rsidR="00650FC9" w:rsidRDefault="00650FC9">
            <w:pPr>
              <w:jc w:val="center"/>
              <w:rPr>
                <w:rFonts w:ascii="宋体" w:eastAsia="宋体" w:hAnsi="宋体" w:cs="宋体"/>
                <w:color w:val="000000"/>
                <w:sz w:val="22"/>
              </w:rPr>
            </w:pPr>
            <w:r>
              <w:rPr>
                <w:rFonts w:hint="eastAsia"/>
                <w:color w:val="000000"/>
                <w:sz w:val="22"/>
              </w:rPr>
              <w:t>8387</w:t>
            </w:r>
          </w:p>
        </w:tc>
        <w:tc>
          <w:tcPr>
            <w:tcW w:w="410" w:type="pct"/>
            <w:tcBorders>
              <w:top w:val="nil"/>
              <w:left w:val="nil"/>
              <w:bottom w:val="single" w:sz="4" w:space="0" w:color="auto"/>
              <w:right w:val="single" w:sz="4" w:space="0" w:color="auto"/>
            </w:tcBorders>
            <w:shd w:val="clear" w:color="auto" w:fill="auto"/>
            <w:noWrap/>
            <w:vAlign w:val="bottom"/>
            <w:hideMark/>
          </w:tcPr>
          <w:p w:rsidR="00650FC9" w:rsidRDefault="00650FC9">
            <w:pPr>
              <w:jc w:val="center"/>
              <w:rPr>
                <w:rFonts w:ascii="宋体" w:eastAsia="宋体" w:hAnsi="宋体" w:cs="宋体"/>
                <w:color w:val="000000"/>
                <w:sz w:val="22"/>
              </w:rPr>
            </w:pPr>
            <w:r>
              <w:rPr>
                <w:rFonts w:hint="eastAsia"/>
                <w:color w:val="000000"/>
                <w:sz w:val="22"/>
              </w:rPr>
              <w:t>6</w:t>
            </w:r>
          </w:p>
        </w:tc>
        <w:tc>
          <w:tcPr>
            <w:tcW w:w="574" w:type="pct"/>
            <w:tcBorders>
              <w:top w:val="nil"/>
              <w:left w:val="nil"/>
              <w:bottom w:val="single" w:sz="4" w:space="0" w:color="auto"/>
              <w:right w:val="single" w:sz="4" w:space="0" w:color="auto"/>
            </w:tcBorders>
            <w:shd w:val="clear" w:color="auto" w:fill="auto"/>
            <w:noWrap/>
            <w:vAlign w:val="bottom"/>
            <w:hideMark/>
          </w:tcPr>
          <w:p w:rsidR="00650FC9" w:rsidRDefault="00650FC9">
            <w:pPr>
              <w:jc w:val="center"/>
              <w:rPr>
                <w:rFonts w:ascii="宋体" w:eastAsia="宋体" w:hAnsi="宋体" w:cs="宋体"/>
                <w:color w:val="000000"/>
                <w:sz w:val="22"/>
              </w:rPr>
            </w:pPr>
            <w:r>
              <w:rPr>
                <w:rFonts w:hint="eastAsia"/>
                <w:color w:val="000000"/>
                <w:sz w:val="22"/>
              </w:rPr>
              <w:t>36.33%</w:t>
            </w:r>
          </w:p>
        </w:tc>
      </w:tr>
      <w:tr w:rsidR="00650FC9" w:rsidRPr="009B2D9C" w:rsidTr="00650FC9">
        <w:trPr>
          <w:trHeight w:val="270"/>
        </w:trPr>
        <w:tc>
          <w:tcPr>
            <w:tcW w:w="558" w:type="pct"/>
            <w:tcBorders>
              <w:top w:val="nil"/>
              <w:left w:val="single" w:sz="4" w:space="0" w:color="auto"/>
              <w:bottom w:val="single" w:sz="4" w:space="0" w:color="auto"/>
              <w:right w:val="single" w:sz="4" w:space="0" w:color="auto"/>
            </w:tcBorders>
            <w:shd w:val="clear" w:color="000000" w:fill="EAF1DD"/>
            <w:noWrap/>
            <w:vAlign w:val="center"/>
            <w:hideMark/>
          </w:tcPr>
          <w:p w:rsidR="00650FC9" w:rsidRPr="00A8388F" w:rsidRDefault="00650FC9" w:rsidP="009B2D9C">
            <w:pPr>
              <w:widowControl/>
              <w:jc w:val="center"/>
              <w:rPr>
                <w:rFonts w:ascii="宋体" w:eastAsia="宋体" w:hAnsi="宋体" w:cs="宋体"/>
                <w:b/>
                <w:color w:val="000000"/>
                <w:kern w:val="0"/>
                <w:szCs w:val="21"/>
              </w:rPr>
            </w:pPr>
            <w:r w:rsidRPr="00A8388F">
              <w:rPr>
                <w:rFonts w:ascii="宋体" w:eastAsia="宋体" w:hAnsi="宋体" w:cs="宋体" w:hint="eastAsia"/>
                <w:b/>
                <w:color w:val="000000"/>
                <w:kern w:val="0"/>
                <w:szCs w:val="21"/>
              </w:rPr>
              <w:t>商住</w:t>
            </w:r>
          </w:p>
        </w:tc>
        <w:tc>
          <w:tcPr>
            <w:tcW w:w="331" w:type="pct"/>
            <w:tcBorders>
              <w:top w:val="nil"/>
              <w:left w:val="nil"/>
              <w:bottom w:val="single" w:sz="4" w:space="0" w:color="auto"/>
              <w:right w:val="single" w:sz="4" w:space="0" w:color="auto"/>
            </w:tcBorders>
            <w:shd w:val="clear" w:color="000000" w:fill="EAF1DD"/>
            <w:noWrap/>
            <w:vAlign w:val="center"/>
            <w:hideMark/>
          </w:tcPr>
          <w:p w:rsidR="00650FC9" w:rsidRDefault="00650FC9">
            <w:pPr>
              <w:jc w:val="center"/>
              <w:rPr>
                <w:rFonts w:ascii="宋体" w:eastAsia="宋体" w:hAnsi="宋体" w:cs="宋体"/>
                <w:color w:val="000000"/>
                <w:sz w:val="22"/>
              </w:rPr>
            </w:pPr>
            <w:r>
              <w:rPr>
                <w:rFonts w:hint="eastAsia"/>
                <w:color w:val="000000"/>
                <w:sz w:val="22"/>
              </w:rPr>
              <w:t>6</w:t>
            </w:r>
          </w:p>
        </w:tc>
        <w:tc>
          <w:tcPr>
            <w:tcW w:w="527" w:type="pct"/>
            <w:tcBorders>
              <w:top w:val="nil"/>
              <w:left w:val="nil"/>
              <w:bottom w:val="single" w:sz="4" w:space="0" w:color="auto"/>
              <w:right w:val="single" w:sz="4" w:space="0" w:color="auto"/>
            </w:tcBorders>
            <w:shd w:val="clear" w:color="000000" w:fill="EAF1DD"/>
            <w:noWrap/>
            <w:vAlign w:val="center"/>
            <w:hideMark/>
          </w:tcPr>
          <w:p w:rsidR="00650FC9" w:rsidRDefault="00650FC9">
            <w:pPr>
              <w:jc w:val="center"/>
              <w:rPr>
                <w:rFonts w:ascii="宋体" w:eastAsia="宋体" w:hAnsi="宋体" w:cs="宋体"/>
                <w:color w:val="000000"/>
                <w:sz w:val="22"/>
              </w:rPr>
            </w:pPr>
            <w:r>
              <w:rPr>
                <w:rFonts w:hint="eastAsia"/>
                <w:color w:val="000000"/>
                <w:sz w:val="22"/>
              </w:rPr>
              <w:t>116.3</w:t>
            </w:r>
          </w:p>
        </w:tc>
        <w:tc>
          <w:tcPr>
            <w:tcW w:w="541" w:type="pct"/>
            <w:tcBorders>
              <w:top w:val="nil"/>
              <w:left w:val="nil"/>
              <w:bottom w:val="single" w:sz="4" w:space="0" w:color="auto"/>
              <w:right w:val="single" w:sz="4" w:space="0" w:color="auto"/>
            </w:tcBorders>
            <w:shd w:val="clear" w:color="000000" w:fill="EAF1DD"/>
            <w:noWrap/>
            <w:vAlign w:val="center"/>
            <w:hideMark/>
          </w:tcPr>
          <w:p w:rsidR="00650FC9" w:rsidRDefault="00650FC9">
            <w:pPr>
              <w:jc w:val="center"/>
              <w:rPr>
                <w:rFonts w:ascii="宋体" w:eastAsia="宋体" w:hAnsi="宋体" w:cs="宋体"/>
                <w:color w:val="000000"/>
                <w:sz w:val="22"/>
              </w:rPr>
            </w:pPr>
            <w:r>
              <w:rPr>
                <w:rFonts w:hint="eastAsia"/>
                <w:color w:val="000000"/>
                <w:sz w:val="22"/>
              </w:rPr>
              <w:t>37.6</w:t>
            </w:r>
          </w:p>
        </w:tc>
        <w:tc>
          <w:tcPr>
            <w:tcW w:w="575" w:type="pct"/>
            <w:tcBorders>
              <w:top w:val="nil"/>
              <w:left w:val="nil"/>
              <w:bottom w:val="single" w:sz="4" w:space="0" w:color="auto"/>
              <w:right w:val="single" w:sz="4" w:space="0" w:color="auto"/>
            </w:tcBorders>
            <w:shd w:val="clear" w:color="000000" w:fill="EAF1DD"/>
            <w:noWrap/>
            <w:vAlign w:val="bottom"/>
            <w:hideMark/>
          </w:tcPr>
          <w:p w:rsidR="00650FC9" w:rsidRDefault="00650FC9">
            <w:pPr>
              <w:jc w:val="center"/>
              <w:rPr>
                <w:rFonts w:ascii="宋体" w:eastAsia="宋体" w:hAnsi="宋体" w:cs="宋体"/>
                <w:color w:val="000000"/>
                <w:sz w:val="22"/>
              </w:rPr>
            </w:pPr>
            <w:r>
              <w:rPr>
                <w:rFonts w:hint="eastAsia"/>
                <w:color w:val="000000"/>
                <w:sz w:val="22"/>
              </w:rPr>
              <w:t xml:space="preserve">6.27 </w:t>
            </w:r>
          </w:p>
        </w:tc>
        <w:tc>
          <w:tcPr>
            <w:tcW w:w="577" w:type="pct"/>
            <w:tcBorders>
              <w:top w:val="nil"/>
              <w:left w:val="nil"/>
              <w:bottom w:val="single" w:sz="4" w:space="0" w:color="auto"/>
              <w:right w:val="single" w:sz="4" w:space="0" w:color="auto"/>
            </w:tcBorders>
            <w:shd w:val="clear" w:color="000000" w:fill="EAF1DD"/>
            <w:noWrap/>
            <w:vAlign w:val="center"/>
            <w:hideMark/>
          </w:tcPr>
          <w:p w:rsidR="00650FC9" w:rsidRDefault="00650FC9">
            <w:pPr>
              <w:jc w:val="center"/>
              <w:rPr>
                <w:rFonts w:ascii="宋体" w:eastAsia="宋体" w:hAnsi="宋体" w:cs="宋体"/>
                <w:color w:val="000000"/>
                <w:sz w:val="22"/>
              </w:rPr>
            </w:pPr>
            <w:r>
              <w:rPr>
                <w:rFonts w:hint="eastAsia"/>
                <w:color w:val="000000"/>
                <w:sz w:val="22"/>
              </w:rPr>
              <w:t>102.59</w:t>
            </w:r>
          </w:p>
        </w:tc>
        <w:tc>
          <w:tcPr>
            <w:tcW w:w="493" w:type="pct"/>
            <w:tcBorders>
              <w:top w:val="nil"/>
              <w:left w:val="nil"/>
              <w:bottom w:val="single" w:sz="4" w:space="0" w:color="auto"/>
              <w:right w:val="single" w:sz="4" w:space="0" w:color="auto"/>
            </w:tcBorders>
            <w:shd w:val="clear" w:color="000000" w:fill="EAF1DD"/>
            <w:noWrap/>
            <w:vAlign w:val="center"/>
            <w:hideMark/>
          </w:tcPr>
          <w:p w:rsidR="00650FC9" w:rsidRDefault="00650FC9">
            <w:pPr>
              <w:jc w:val="center"/>
              <w:rPr>
                <w:rFonts w:ascii="宋体" w:eastAsia="宋体" w:hAnsi="宋体" w:cs="宋体"/>
                <w:color w:val="000000"/>
                <w:sz w:val="22"/>
              </w:rPr>
            </w:pPr>
            <w:r>
              <w:rPr>
                <w:rFonts w:hint="eastAsia"/>
                <w:color w:val="000000"/>
                <w:sz w:val="22"/>
              </w:rPr>
              <w:t xml:space="preserve">2.73 </w:t>
            </w:r>
          </w:p>
        </w:tc>
        <w:tc>
          <w:tcPr>
            <w:tcW w:w="413" w:type="pct"/>
            <w:tcBorders>
              <w:top w:val="nil"/>
              <w:left w:val="nil"/>
              <w:bottom w:val="single" w:sz="4" w:space="0" w:color="auto"/>
              <w:right w:val="single" w:sz="4" w:space="0" w:color="auto"/>
            </w:tcBorders>
            <w:shd w:val="clear" w:color="000000" w:fill="EAF1DD"/>
            <w:noWrap/>
            <w:vAlign w:val="bottom"/>
            <w:hideMark/>
          </w:tcPr>
          <w:p w:rsidR="00650FC9" w:rsidRDefault="00650FC9" w:rsidP="00650FC9">
            <w:pPr>
              <w:jc w:val="center"/>
              <w:rPr>
                <w:rFonts w:ascii="宋体" w:eastAsia="宋体" w:hAnsi="宋体" w:cs="宋体"/>
                <w:color w:val="000000"/>
                <w:sz w:val="22"/>
              </w:rPr>
            </w:pPr>
            <w:r>
              <w:rPr>
                <w:rFonts w:hint="eastAsia"/>
                <w:color w:val="000000"/>
                <w:sz w:val="22"/>
              </w:rPr>
              <w:t>1133</w:t>
            </w:r>
          </w:p>
        </w:tc>
        <w:tc>
          <w:tcPr>
            <w:tcW w:w="410" w:type="pct"/>
            <w:tcBorders>
              <w:top w:val="nil"/>
              <w:left w:val="nil"/>
              <w:bottom w:val="single" w:sz="4" w:space="0" w:color="auto"/>
              <w:right w:val="single" w:sz="4" w:space="0" w:color="auto"/>
            </w:tcBorders>
            <w:shd w:val="clear" w:color="000000" w:fill="EAF1DD"/>
            <w:noWrap/>
            <w:vAlign w:val="bottom"/>
            <w:hideMark/>
          </w:tcPr>
          <w:p w:rsidR="00650FC9" w:rsidRDefault="00650FC9">
            <w:pPr>
              <w:jc w:val="center"/>
              <w:rPr>
                <w:rFonts w:ascii="宋体" w:eastAsia="宋体" w:hAnsi="宋体" w:cs="宋体"/>
                <w:color w:val="000000"/>
                <w:sz w:val="22"/>
              </w:rPr>
            </w:pPr>
            <w:r>
              <w:rPr>
                <w:rFonts w:hint="eastAsia"/>
                <w:color w:val="000000"/>
                <w:sz w:val="22"/>
              </w:rPr>
              <w:t>6</w:t>
            </w:r>
          </w:p>
        </w:tc>
        <w:tc>
          <w:tcPr>
            <w:tcW w:w="574" w:type="pct"/>
            <w:tcBorders>
              <w:top w:val="nil"/>
              <w:left w:val="nil"/>
              <w:bottom w:val="single" w:sz="4" w:space="0" w:color="auto"/>
              <w:right w:val="single" w:sz="4" w:space="0" w:color="auto"/>
            </w:tcBorders>
            <w:shd w:val="clear" w:color="000000" w:fill="EAF1DD"/>
            <w:noWrap/>
            <w:vAlign w:val="bottom"/>
            <w:hideMark/>
          </w:tcPr>
          <w:p w:rsidR="00650FC9" w:rsidRDefault="00650FC9">
            <w:pPr>
              <w:jc w:val="center"/>
              <w:rPr>
                <w:rFonts w:ascii="宋体" w:eastAsia="宋体" w:hAnsi="宋体" w:cs="宋体"/>
                <w:color w:val="000000"/>
                <w:sz w:val="22"/>
              </w:rPr>
            </w:pPr>
            <w:r>
              <w:rPr>
                <w:rFonts w:hint="eastAsia"/>
                <w:color w:val="000000"/>
                <w:sz w:val="22"/>
              </w:rPr>
              <w:t>44.77%</w:t>
            </w:r>
          </w:p>
        </w:tc>
      </w:tr>
      <w:tr w:rsidR="00650FC9" w:rsidRPr="009B2D9C" w:rsidTr="00650FC9">
        <w:trPr>
          <w:trHeight w:val="270"/>
        </w:trPr>
        <w:tc>
          <w:tcPr>
            <w:tcW w:w="558" w:type="pct"/>
            <w:tcBorders>
              <w:top w:val="nil"/>
              <w:left w:val="single" w:sz="4" w:space="0" w:color="auto"/>
              <w:bottom w:val="single" w:sz="4" w:space="0" w:color="auto"/>
              <w:right w:val="single" w:sz="4" w:space="0" w:color="auto"/>
            </w:tcBorders>
            <w:shd w:val="clear" w:color="auto" w:fill="auto"/>
            <w:noWrap/>
            <w:vAlign w:val="center"/>
            <w:hideMark/>
          </w:tcPr>
          <w:p w:rsidR="00650FC9" w:rsidRPr="00A8388F" w:rsidRDefault="00650FC9" w:rsidP="009B2D9C">
            <w:pPr>
              <w:widowControl/>
              <w:jc w:val="center"/>
              <w:rPr>
                <w:rFonts w:ascii="宋体" w:eastAsia="宋体" w:hAnsi="宋体" w:cs="宋体"/>
                <w:b/>
                <w:color w:val="000000"/>
                <w:kern w:val="0"/>
                <w:szCs w:val="21"/>
              </w:rPr>
            </w:pPr>
            <w:r w:rsidRPr="00A8388F">
              <w:rPr>
                <w:rFonts w:ascii="宋体" w:eastAsia="宋体" w:hAnsi="宋体" w:cs="宋体" w:hint="eastAsia"/>
                <w:b/>
                <w:color w:val="000000"/>
                <w:kern w:val="0"/>
                <w:szCs w:val="21"/>
              </w:rPr>
              <w:t>商服</w:t>
            </w:r>
          </w:p>
        </w:tc>
        <w:tc>
          <w:tcPr>
            <w:tcW w:w="331" w:type="pct"/>
            <w:tcBorders>
              <w:top w:val="nil"/>
              <w:left w:val="nil"/>
              <w:bottom w:val="single" w:sz="4" w:space="0" w:color="auto"/>
              <w:right w:val="single" w:sz="4" w:space="0" w:color="auto"/>
            </w:tcBorders>
            <w:shd w:val="clear" w:color="auto" w:fill="auto"/>
            <w:noWrap/>
            <w:vAlign w:val="center"/>
            <w:hideMark/>
          </w:tcPr>
          <w:p w:rsidR="00650FC9" w:rsidRDefault="00650FC9">
            <w:pPr>
              <w:jc w:val="center"/>
              <w:rPr>
                <w:rFonts w:ascii="宋体" w:eastAsia="宋体" w:hAnsi="宋体" w:cs="宋体"/>
                <w:color w:val="000000"/>
                <w:sz w:val="22"/>
              </w:rPr>
            </w:pPr>
            <w:r>
              <w:rPr>
                <w:rFonts w:hint="eastAsia"/>
                <w:color w:val="000000"/>
                <w:sz w:val="22"/>
              </w:rPr>
              <w:t>5</w:t>
            </w:r>
          </w:p>
        </w:tc>
        <w:tc>
          <w:tcPr>
            <w:tcW w:w="527" w:type="pct"/>
            <w:tcBorders>
              <w:top w:val="nil"/>
              <w:left w:val="nil"/>
              <w:bottom w:val="single" w:sz="4" w:space="0" w:color="auto"/>
              <w:right w:val="single" w:sz="4" w:space="0" w:color="auto"/>
            </w:tcBorders>
            <w:shd w:val="clear" w:color="auto" w:fill="auto"/>
            <w:noWrap/>
            <w:vAlign w:val="center"/>
            <w:hideMark/>
          </w:tcPr>
          <w:p w:rsidR="00650FC9" w:rsidRDefault="00650FC9">
            <w:pPr>
              <w:jc w:val="center"/>
              <w:rPr>
                <w:rFonts w:ascii="宋体" w:eastAsia="宋体" w:hAnsi="宋体" w:cs="宋体"/>
                <w:color w:val="000000"/>
                <w:sz w:val="22"/>
              </w:rPr>
            </w:pPr>
            <w:r>
              <w:rPr>
                <w:rFonts w:hint="eastAsia"/>
                <w:color w:val="000000"/>
                <w:sz w:val="22"/>
              </w:rPr>
              <w:t>16.15</w:t>
            </w:r>
          </w:p>
        </w:tc>
        <w:tc>
          <w:tcPr>
            <w:tcW w:w="541" w:type="pct"/>
            <w:tcBorders>
              <w:top w:val="nil"/>
              <w:left w:val="nil"/>
              <w:bottom w:val="single" w:sz="4" w:space="0" w:color="auto"/>
              <w:right w:val="single" w:sz="4" w:space="0" w:color="auto"/>
            </w:tcBorders>
            <w:shd w:val="clear" w:color="auto" w:fill="auto"/>
            <w:noWrap/>
            <w:vAlign w:val="center"/>
            <w:hideMark/>
          </w:tcPr>
          <w:p w:rsidR="00650FC9" w:rsidRDefault="00650FC9">
            <w:pPr>
              <w:jc w:val="center"/>
              <w:rPr>
                <w:rFonts w:ascii="宋体" w:eastAsia="宋体" w:hAnsi="宋体" w:cs="宋体"/>
                <w:color w:val="000000"/>
                <w:sz w:val="22"/>
              </w:rPr>
            </w:pPr>
            <w:r>
              <w:rPr>
                <w:rFonts w:hint="eastAsia"/>
                <w:color w:val="000000"/>
                <w:sz w:val="22"/>
              </w:rPr>
              <w:t>18.31</w:t>
            </w:r>
          </w:p>
        </w:tc>
        <w:tc>
          <w:tcPr>
            <w:tcW w:w="575" w:type="pct"/>
            <w:tcBorders>
              <w:top w:val="nil"/>
              <w:left w:val="nil"/>
              <w:bottom w:val="single" w:sz="4" w:space="0" w:color="auto"/>
              <w:right w:val="single" w:sz="4" w:space="0" w:color="auto"/>
            </w:tcBorders>
            <w:shd w:val="clear" w:color="auto" w:fill="auto"/>
            <w:noWrap/>
            <w:vAlign w:val="bottom"/>
            <w:hideMark/>
          </w:tcPr>
          <w:p w:rsidR="00650FC9" w:rsidRDefault="00650FC9">
            <w:pPr>
              <w:jc w:val="center"/>
              <w:rPr>
                <w:rFonts w:ascii="宋体" w:eastAsia="宋体" w:hAnsi="宋体" w:cs="宋体"/>
                <w:color w:val="000000"/>
                <w:sz w:val="22"/>
              </w:rPr>
            </w:pPr>
            <w:r>
              <w:rPr>
                <w:rFonts w:hint="eastAsia"/>
                <w:color w:val="000000"/>
                <w:sz w:val="22"/>
              </w:rPr>
              <w:t xml:space="preserve">3.66 </w:t>
            </w:r>
          </w:p>
        </w:tc>
        <w:tc>
          <w:tcPr>
            <w:tcW w:w="577" w:type="pct"/>
            <w:tcBorders>
              <w:top w:val="nil"/>
              <w:left w:val="nil"/>
              <w:bottom w:val="single" w:sz="4" w:space="0" w:color="auto"/>
              <w:right w:val="single" w:sz="4" w:space="0" w:color="auto"/>
            </w:tcBorders>
            <w:shd w:val="clear" w:color="auto" w:fill="auto"/>
            <w:noWrap/>
            <w:vAlign w:val="center"/>
            <w:hideMark/>
          </w:tcPr>
          <w:p w:rsidR="00650FC9" w:rsidRDefault="00650FC9">
            <w:pPr>
              <w:jc w:val="center"/>
              <w:rPr>
                <w:rFonts w:ascii="宋体" w:eastAsia="宋体" w:hAnsi="宋体" w:cs="宋体"/>
                <w:color w:val="000000"/>
                <w:sz w:val="22"/>
              </w:rPr>
            </w:pPr>
            <w:r>
              <w:rPr>
                <w:rFonts w:hint="eastAsia"/>
                <w:color w:val="000000"/>
                <w:sz w:val="22"/>
              </w:rPr>
              <w:t>82.95</w:t>
            </w:r>
          </w:p>
        </w:tc>
        <w:tc>
          <w:tcPr>
            <w:tcW w:w="493" w:type="pct"/>
            <w:tcBorders>
              <w:top w:val="nil"/>
              <w:left w:val="nil"/>
              <w:bottom w:val="single" w:sz="4" w:space="0" w:color="auto"/>
              <w:right w:val="single" w:sz="4" w:space="0" w:color="auto"/>
            </w:tcBorders>
            <w:shd w:val="clear" w:color="auto" w:fill="auto"/>
            <w:noWrap/>
            <w:vAlign w:val="center"/>
            <w:hideMark/>
          </w:tcPr>
          <w:p w:rsidR="00650FC9" w:rsidRDefault="00650FC9">
            <w:pPr>
              <w:jc w:val="center"/>
              <w:rPr>
                <w:rFonts w:ascii="宋体" w:eastAsia="宋体" w:hAnsi="宋体" w:cs="宋体"/>
                <w:color w:val="000000"/>
                <w:sz w:val="22"/>
              </w:rPr>
            </w:pPr>
            <w:r>
              <w:rPr>
                <w:rFonts w:hint="eastAsia"/>
                <w:color w:val="000000"/>
                <w:sz w:val="22"/>
              </w:rPr>
              <w:t xml:space="preserve">4.53 </w:t>
            </w:r>
          </w:p>
        </w:tc>
        <w:tc>
          <w:tcPr>
            <w:tcW w:w="413" w:type="pct"/>
            <w:tcBorders>
              <w:top w:val="nil"/>
              <w:left w:val="nil"/>
              <w:bottom w:val="single" w:sz="4" w:space="0" w:color="auto"/>
              <w:right w:val="single" w:sz="4" w:space="0" w:color="auto"/>
            </w:tcBorders>
            <w:shd w:val="clear" w:color="auto" w:fill="auto"/>
            <w:noWrap/>
            <w:vAlign w:val="bottom"/>
            <w:hideMark/>
          </w:tcPr>
          <w:p w:rsidR="00650FC9" w:rsidRDefault="00650FC9" w:rsidP="00650FC9">
            <w:pPr>
              <w:jc w:val="center"/>
              <w:rPr>
                <w:rFonts w:ascii="宋体" w:eastAsia="宋体" w:hAnsi="宋体" w:cs="宋体"/>
                <w:color w:val="000000"/>
                <w:sz w:val="22"/>
              </w:rPr>
            </w:pPr>
            <w:r>
              <w:rPr>
                <w:rFonts w:hint="eastAsia"/>
                <w:color w:val="000000"/>
                <w:sz w:val="22"/>
              </w:rPr>
              <w:t>1946</w:t>
            </w:r>
          </w:p>
        </w:tc>
        <w:tc>
          <w:tcPr>
            <w:tcW w:w="410" w:type="pct"/>
            <w:tcBorders>
              <w:top w:val="nil"/>
              <w:left w:val="nil"/>
              <w:bottom w:val="single" w:sz="4" w:space="0" w:color="auto"/>
              <w:right w:val="single" w:sz="4" w:space="0" w:color="auto"/>
            </w:tcBorders>
            <w:shd w:val="clear" w:color="auto" w:fill="auto"/>
            <w:noWrap/>
            <w:vAlign w:val="center"/>
            <w:hideMark/>
          </w:tcPr>
          <w:p w:rsidR="00650FC9" w:rsidRDefault="00650FC9">
            <w:pPr>
              <w:jc w:val="center"/>
              <w:rPr>
                <w:rFonts w:ascii="宋体" w:eastAsia="宋体" w:hAnsi="宋体" w:cs="宋体"/>
                <w:color w:val="000000"/>
                <w:sz w:val="22"/>
              </w:rPr>
            </w:pPr>
            <w:r>
              <w:rPr>
                <w:rFonts w:hint="eastAsia"/>
                <w:color w:val="000000"/>
                <w:sz w:val="22"/>
              </w:rPr>
              <w:t>1</w:t>
            </w:r>
          </w:p>
        </w:tc>
        <w:tc>
          <w:tcPr>
            <w:tcW w:w="574" w:type="pct"/>
            <w:tcBorders>
              <w:top w:val="nil"/>
              <w:left w:val="nil"/>
              <w:bottom w:val="single" w:sz="4" w:space="0" w:color="auto"/>
              <w:right w:val="single" w:sz="4" w:space="0" w:color="auto"/>
            </w:tcBorders>
            <w:shd w:val="clear" w:color="auto" w:fill="auto"/>
            <w:noWrap/>
            <w:vAlign w:val="center"/>
            <w:hideMark/>
          </w:tcPr>
          <w:p w:rsidR="00650FC9" w:rsidRDefault="00650FC9" w:rsidP="00650FC9">
            <w:pPr>
              <w:rPr>
                <w:rFonts w:ascii="宋体" w:eastAsia="宋体" w:hAnsi="宋体" w:cs="宋体"/>
                <w:color w:val="000000"/>
                <w:sz w:val="22"/>
              </w:rPr>
            </w:pPr>
            <w:r>
              <w:rPr>
                <w:rFonts w:hint="eastAsia"/>
                <w:color w:val="000000"/>
                <w:sz w:val="22"/>
              </w:rPr>
              <w:t>110.84%</w:t>
            </w:r>
          </w:p>
        </w:tc>
      </w:tr>
      <w:tr w:rsidR="00650FC9" w:rsidRPr="009B2D9C" w:rsidTr="00650FC9">
        <w:trPr>
          <w:trHeight w:val="270"/>
        </w:trPr>
        <w:tc>
          <w:tcPr>
            <w:tcW w:w="558" w:type="pct"/>
            <w:tcBorders>
              <w:top w:val="nil"/>
              <w:left w:val="single" w:sz="4" w:space="0" w:color="auto"/>
              <w:bottom w:val="single" w:sz="4" w:space="0" w:color="auto"/>
              <w:right w:val="single" w:sz="4" w:space="0" w:color="auto"/>
            </w:tcBorders>
            <w:shd w:val="clear" w:color="000000" w:fill="EAF1DD"/>
            <w:noWrap/>
            <w:vAlign w:val="center"/>
            <w:hideMark/>
          </w:tcPr>
          <w:p w:rsidR="00650FC9" w:rsidRPr="00A8388F" w:rsidRDefault="00650FC9" w:rsidP="009B2D9C">
            <w:pPr>
              <w:widowControl/>
              <w:jc w:val="center"/>
              <w:rPr>
                <w:rFonts w:ascii="宋体" w:eastAsia="宋体" w:hAnsi="宋体" w:cs="宋体"/>
                <w:b/>
                <w:color w:val="000000"/>
                <w:kern w:val="0"/>
                <w:szCs w:val="21"/>
              </w:rPr>
            </w:pPr>
            <w:r w:rsidRPr="00A8388F">
              <w:rPr>
                <w:rFonts w:ascii="宋体" w:eastAsia="宋体" w:hAnsi="宋体" w:cs="宋体" w:hint="eastAsia"/>
                <w:b/>
                <w:color w:val="000000"/>
                <w:kern w:val="0"/>
                <w:szCs w:val="21"/>
              </w:rPr>
              <w:t>总计</w:t>
            </w:r>
          </w:p>
        </w:tc>
        <w:tc>
          <w:tcPr>
            <w:tcW w:w="331" w:type="pct"/>
            <w:tcBorders>
              <w:top w:val="nil"/>
              <w:left w:val="nil"/>
              <w:bottom w:val="single" w:sz="4" w:space="0" w:color="auto"/>
              <w:right w:val="single" w:sz="4" w:space="0" w:color="auto"/>
            </w:tcBorders>
            <w:shd w:val="clear" w:color="000000" w:fill="EAF1DD"/>
            <w:noWrap/>
            <w:vAlign w:val="center"/>
            <w:hideMark/>
          </w:tcPr>
          <w:p w:rsidR="00650FC9" w:rsidRDefault="00650FC9">
            <w:pPr>
              <w:jc w:val="center"/>
              <w:rPr>
                <w:rFonts w:ascii="宋体" w:eastAsia="宋体" w:hAnsi="宋体" w:cs="宋体"/>
                <w:color w:val="000000"/>
                <w:sz w:val="22"/>
              </w:rPr>
            </w:pPr>
            <w:r>
              <w:rPr>
                <w:rFonts w:hint="eastAsia"/>
                <w:color w:val="000000"/>
                <w:sz w:val="22"/>
              </w:rPr>
              <w:t>17</w:t>
            </w:r>
          </w:p>
        </w:tc>
        <w:tc>
          <w:tcPr>
            <w:tcW w:w="527" w:type="pct"/>
            <w:tcBorders>
              <w:top w:val="nil"/>
              <w:left w:val="nil"/>
              <w:bottom w:val="single" w:sz="4" w:space="0" w:color="auto"/>
              <w:right w:val="single" w:sz="4" w:space="0" w:color="auto"/>
            </w:tcBorders>
            <w:shd w:val="clear" w:color="000000" w:fill="EAF1DD"/>
            <w:noWrap/>
            <w:vAlign w:val="center"/>
            <w:hideMark/>
          </w:tcPr>
          <w:p w:rsidR="00650FC9" w:rsidRDefault="00650FC9">
            <w:pPr>
              <w:jc w:val="center"/>
              <w:rPr>
                <w:rFonts w:ascii="宋体" w:eastAsia="宋体" w:hAnsi="宋体" w:cs="宋体"/>
                <w:color w:val="000000"/>
                <w:sz w:val="22"/>
              </w:rPr>
            </w:pPr>
            <w:r>
              <w:rPr>
                <w:rFonts w:hint="eastAsia"/>
                <w:color w:val="000000"/>
                <w:sz w:val="22"/>
              </w:rPr>
              <w:t>191.24</w:t>
            </w:r>
          </w:p>
        </w:tc>
        <w:tc>
          <w:tcPr>
            <w:tcW w:w="541" w:type="pct"/>
            <w:tcBorders>
              <w:top w:val="nil"/>
              <w:left w:val="nil"/>
              <w:bottom w:val="single" w:sz="4" w:space="0" w:color="auto"/>
              <w:right w:val="single" w:sz="4" w:space="0" w:color="auto"/>
            </w:tcBorders>
            <w:shd w:val="clear" w:color="000000" w:fill="EAF1DD"/>
            <w:noWrap/>
            <w:vAlign w:val="center"/>
            <w:hideMark/>
          </w:tcPr>
          <w:p w:rsidR="00650FC9" w:rsidRDefault="00650FC9">
            <w:pPr>
              <w:jc w:val="center"/>
              <w:rPr>
                <w:rFonts w:ascii="宋体" w:eastAsia="宋体" w:hAnsi="宋体" w:cs="宋体"/>
                <w:color w:val="000000"/>
                <w:sz w:val="22"/>
              </w:rPr>
            </w:pPr>
            <w:r>
              <w:rPr>
                <w:rFonts w:hint="eastAsia"/>
                <w:color w:val="000000"/>
                <w:sz w:val="22"/>
              </w:rPr>
              <w:t>85.96</w:t>
            </w:r>
          </w:p>
        </w:tc>
        <w:tc>
          <w:tcPr>
            <w:tcW w:w="575" w:type="pct"/>
            <w:tcBorders>
              <w:top w:val="nil"/>
              <w:left w:val="nil"/>
              <w:bottom w:val="single" w:sz="4" w:space="0" w:color="auto"/>
              <w:right w:val="single" w:sz="4" w:space="0" w:color="auto"/>
            </w:tcBorders>
            <w:shd w:val="clear" w:color="000000" w:fill="EAF1DD"/>
            <w:noWrap/>
            <w:vAlign w:val="bottom"/>
            <w:hideMark/>
          </w:tcPr>
          <w:p w:rsidR="00650FC9" w:rsidRDefault="00650FC9">
            <w:pPr>
              <w:jc w:val="center"/>
              <w:rPr>
                <w:rFonts w:ascii="宋体" w:eastAsia="宋体" w:hAnsi="宋体" w:cs="宋体"/>
                <w:color w:val="000000"/>
                <w:sz w:val="22"/>
              </w:rPr>
            </w:pPr>
            <w:r>
              <w:rPr>
                <w:rFonts w:hint="eastAsia"/>
                <w:color w:val="000000"/>
                <w:sz w:val="22"/>
              </w:rPr>
              <w:t xml:space="preserve">5.06 </w:t>
            </w:r>
          </w:p>
        </w:tc>
        <w:tc>
          <w:tcPr>
            <w:tcW w:w="577" w:type="pct"/>
            <w:tcBorders>
              <w:top w:val="nil"/>
              <w:left w:val="nil"/>
              <w:bottom w:val="single" w:sz="4" w:space="0" w:color="auto"/>
              <w:right w:val="single" w:sz="4" w:space="0" w:color="auto"/>
            </w:tcBorders>
            <w:shd w:val="clear" w:color="000000" w:fill="EAF1DD"/>
            <w:noWrap/>
            <w:vAlign w:val="center"/>
            <w:hideMark/>
          </w:tcPr>
          <w:p w:rsidR="00650FC9" w:rsidRDefault="00650FC9">
            <w:pPr>
              <w:jc w:val="center"/>
              <w:rPr>
                <w:rFonts w:ascii="宋体" w:eastAsia="宋体" w:hAnsi="宋体" w:cs="宋体"/>
                <w:color w:val="000000"/>
                <w:sz w:val="22"/>
              </w:rPr>
            </w:pPr>
            <w:r>
              <w:rPr>
                <w:rFonts w:hint="eastAsia"/>
                <w:color w:val="000000"/>
                <w:sz w:val="22"/>
              </w:rPr>
              <w:t>255.63</w:t>
            </w:r>
          </w:p>
        </w:tc>
        <w:tc>
          <w:tcPr>
            <w:tcW w:w="493" w:type="pct"/>
            <w:tcBorders>
              <w:top w:val="nil"/>
              <w:left w:val="nil"/>
              <w:bottom w:val="single" w:sz="4" w:space="0" w:color="auto"/>
              <w:right w:val="single" w:sz="4" w:space="0" w:color="auto"/>
            </w:tcBorders>
            <w:shd w:val="clear" w:color="000000" w:fill="EAF1DD"/>
            <w:noWrap/>
            <w:vAlign w:val="center"/>
            <w:hideMark/>
          </w:tcPr>
          <w:p w:rsidR="00650FC9" w:rsidRDefault="00650FC9">
            <w:pPr>
              <w:jc w:val="center"/>
              <w:rPr>
                <w:rFonts w:ascii="宋体" w:eastAsia="宋体" w:hAnsi="宋体" w:cs="宋体"/>
                <w:color w:val="000000"/>
                <w:sz w:val="22"/>
              </w:rPr>
            </w:pPr>
            <w:r>
              <w:rPr>
                <w:rFonts w:hint="eastAsia"/>
                <w:color w:val="000000"/>
                <w:sz w:val="22"/>
              </w:rPr>
              <w:t xml:space="preserve">2.97 </w:t>
            </w:r>
          </w:p>
        </w:tc>
        <w:tc>
          <w:tcPr>
            <w:tcW w:w="413" w:type="pct"/>
            <w:tcBorders>
              <w:top w:val="nil"/>
              <w:left w:val="nil"/>
              <w:bottom w:val="single" w:sz="4" w:space="0" w:color="auto"/>
              <w:right w:val="single" w:sz="4" w:space="0" w:color="auto"/>
            </w:tcBorders>
            <w:shd w:val="clear" w:color="000000" w:fill="EAF1DD"/>
            <w:noWrap/>
            <w:vAlign w:val="bottom"/>
            <w:hideMark/>
          </w:tcPr>
          <w:p w:rsidR="00650FC9" w:rsidRDefault="00650FC9" w:rsidP="00650FC9">
            <w:pPr>
              <w:jc w:val="center"/>
              <w:rPr>
                <w:rFonts w:ascii="宋体" w:eastAsia="宋体" w:hAnsi="宋体" w:cs="宋体"/>
                <w:color w:val="000000"/>
                <w:sz w:val="22"/>
              </w:rPr>
            </w:pPr>
            <w:r>
              <w:rPr>
                <w:rFonts w:hint="eastAsia"/>
                <w:color w:val="000000"/>
                <w:sz w:val="22"/>
              </w:rPr>
              <w:t>7481</w:t>
            </w:r>
          </w:p>
        </w:tc>
        <w:tc>
          <w:tcPr>
            <w:tcW w:w="410" w:type="pct"/>
            <w:tcBorders>
              <w:top w:val="nil"/>
              <w:left w:val="nil"/>
              <w:bottom w:val="single" w:sz="4" w:space="0" w:color="auto"/>
              <w:right w:val="single" w:sz="4" w:space="0" w:color="auto"/>
            </w:tcBorders>
            <w:shd w:val="clear" w:color="000000" w:fill="EAF1DD"/>
            <w:noWrap/>
            <w:vAlign w:val="bottom"/>
            <w:hideMark/>
          </w:tcPr>
          <w:p w:rsidR="00650FC9" w:rsidRDefault="00650FC9">
            <w:pPr>
              <w:jc w:val="center"/>
              <w:rPr>
                <w:rFonts w:ascii="宋体" w:eastAsia="宋体" w:hAnsi="宋体" w:cs="宋体"/>
                <w:color w:val="000000"/>
                <w:sz w:val="22"/>
              </w:rPr>
            </w:pPr>
            <w:r>
              <w:rPr>
                <w:rFonts w:hint="eastAsia"/>
                <w:color w:val="000000"/>
                <w:sz w:val="22"/>
              </w:rPr>
              <w:t>13</w:t>
            </w:r>
          </w:p>
        </w:tc>
        <w:tc>
          <w:tcPr>
            <w:tcW w:w="574" w:type="pct"/>
            <w:tcBorders>
              <w:top w:val="nil"/>
              <w:left w:val="nil"/>
              <w:bottom w:val="single" w:sz="4" w:space="0" w:color="auto"/>
              <w:right w:val="single" w:sz="4" w:space="0" w:color="auto"/>
            </w:tcBorders>
            <w:shd w:val="clear" w:color="000000" w:fill="EAF1DD"/>
            <w:noWrap/>
            <w:vAlign w:val="bottom"/>
            <w:hideMark/>
          </w:tcPr>
          <w:p w:rsidR="00650FC9" w:rsidRDefault="00650FC9">
            <w:pPr>
              <w:jc w:val="center"/>
              <w:rPr>
                <w:rFonts w:ascii="宋体" w:eastAsia="宋体" w:hAnsi="宋体" w:cs="宋体"/>
                <w:color w:val="000000"/>
                <w:sz w:val="22"/>
              </w:rPr>
            </w:pPr>
            <w:r>
              <w:rPr>
                <w:rFonts w:hint="eastAsia"/>
                <w:color w:val="000000"/>
                <w:sz w:val="22"/>
              </w:rPr>
              <w:t>63.98%</w:t>
            </w:r>
          </w:p>
        </w:tc>
      </w:tr>
    </w:tbl>
    <w:p w:rsidR="004550CA" w:rsidRDefault="004550CA" w:rsidP="0086328F">
      <w:pPr>
        <w:spacing w:beforeLines="100" w:before="312" w:line="360" w:lineRule="auto"/>
        <w:jc w:val="left"/>
        <w:rPr>
          <w:rFonts w:asciiTheme="minorEastAsia" w:hAnsiTheme="minorEastAsia"/>
          <w:b/>
          <w:sz w:val="24"/>
          <w:szCs w:val="24"/>
        </w:rPr>
      </w:pPr>
      <w:r w:rsidRPr="00DB29BF">
        <w:rPr>
          <w:rFonts w:asciiTheme="minorEastAsia" w:hAnsiTheme="minorEastAsia" w:hint="eastAsia"/>
          <w:b/>
          <w:color w:val="FF0000"/>
          <w:sz w:val="24"/>
          <w:szCs w:val="24"/>
          <w:vertAlign w:val="superscript"/>
        </w:rPr>
        <w:t>×</w:t>
      </w:r>
      <w:r w:rsidRPr="00CE1ACD">
        <w:rPr>
          <w:rFonts w:asciiTheme="minorEastAsia" w:hAnsiTheme="minorEastAsia" w:hint="eastAsia"/>
          <w:b/>
          <w:sz w:val="24"/>
          <w:szCs w:val="24"/>
        </w:rPr>
        <w:t>(</w:t>
      </w:r>
      <w:r>
        <w:rPr>
          <w:rFonts w:asciiTheme="minorEastAsia" w:hAnsiTheme="minorEastAsia" w:hint="eastAsia"/>
          <w:b/>
          <w:sz w:val="24"/>
          <w:szCs w:val="24"/>
        </w:rPr>
        <w:t>二</w:t>
      </w:r>
      <w:r w:rsidRPr="00CE1ACD">
        <w:rPr>
          <w:rFonts w:asciiTheme="minorEastAsia" w:hAnsiTheme="minorEastAsia" w:hint="eastAsia"/>
          <w:b/>
          <w:sz w:val="24"/>
          <w:szCs w:val="24"/>
        </w:rPr>
        <w:t>)</w:t>
      </w:r>
      <w:r>
        <w:rPr>
          <w:rFonts w:asciiTheme="minorEastAsia" w:hAnsiTheme="minorEastAsia" w:hint="eastAsia"/>
          <w:b/>
          <w:sz w:val="24"/>
          <w:szCs w:val="24"/>
        </w:rPr>
        <w:t>苏州</w:t>
      </w:r>
    </w:p>
    <w:p w:rsidR="004550CA" w:rsidRDefault="004550CA" w:rsidP="004550CA">
      <w:pPr>
        <w:spacing w:line="360" w:lineRule="auto"/>
        <w:ind w:firstLineChars="200" w:firstLine="480"/>
        <w:jc w:val="left"/>
        <w:rPr>
          <w:rFonts w:asciiTheme="minorEastAsia" w:hAnsiTheme="minorEastAsia"/>
          <w:sz w:val="24"/>
          <w:szCs w:val="24"/>
        </w:rPr>
      </w:pPr>
      <w:r w:rsidRPr="00225C00">
        <w:rPr>
          <w:rFonts w:asciiTheme="minorEastAsia" w:hAnsiTheme="minorEastAsia" w:hint="eastAsia"/>
          <w:sz w:val="24"/>
          <w:szCs w:val="24"/>
        </w:rPr>
        <w:t>2015</w:t>
      </w:r>
      <w:r w:rsidR="00084915">
        <w:rPr>
          <w:rFonts w:asciiTheme="minorEastAsia" w:hAnsiTheme="minorEastAsia" w:hint="eastAsia"/>
          <w:sz w:val="24"/>
          <w:szCs w:val="24"/>
        </w:rPr>
        <w:t>年第三</w:t>
      </w:r>
      <w:r w:rsidRPr="00225C00">
        <w:rPr>
          <w:rFonts w:asciiTheme="minorEastAsia" w:hAnsiTheme="minorEastAsia" w:hint="eastAsia"/>
          <w:sz w:val="24"/>
          <w:szCs w:val="24"/>
        </w:rPr>
        <w:t>季度，</w:t>
      </w:r>
      <w:r>
        <w:rPr>
          <w:rFonts w:asciiTheme="minorEastAsia" w:hAnsiTheme="minorEastAsia" w:hint="eastAsia"/>
          <w:sz w:val="24"/>
          <w:szCs w:val="24"/>
        </w:rPr>
        <w:t>苏州市</w:t>
      </w:r>
      <w:r w:rsidR="002860B4">
        <w:rPr>
          <w:rFonts w:asciiTheme="minorEastAsia" w:hAnsiTheme="minorEastAsia" w:hint="eastAsia"/>
          <w:sz w:val="24"/>
          <w:szCs w:val="24"/>
        </w:rPr>
        <w:t>共</w:t>
      </w:r>
      <w:r>
        <w:rPr>
          <w:rFonts w:asciiTheme="minorEastAsia" w:hAnsiTheme="minorEastAsia" w:hint="eastAsia"/>
          <w:sz w:val="24"/>
          <w:szCs w:val="24"/>
        </w:rPr>
        <w:t>成交土地</w:t>
      </w:r>
      <w:r w:rsidR="00084915">
        <w:rPr>
          <w:rFonts w:asciiTheme="minorEastAsia" w:hAnsiTheme="minorEastAsia" w:hint="eastAsia"/>
          <w:sz w:val="24"/>
          <w:szCs w:val="24"/>
        </w:rPr>
        <w:t>27</w:t>
      </w:r>
      <w:r w:rsidR="002860B4">
        <w:rPr>
          <w:rFonts w:asciiTheme="minorEastAsia" w:hAnsiTheme="minorEastAsia" w:hint="eastAsia"/>
          <w:sz w:val="24"/>
          <w:szCs w:val="24"/>
        </w:rPr>
        <w:t>宗</w:t>
      </w:r>
      <w:r w:rsidR="002860B4" w:rsidRPr="00F705A7">
        <w:rPr>
          <w:rFonts w:asciiTheme="minorEastAsia" w:hAnsiTheme="minorEastAsia" w:hint="eastAsia"/>
          <w:sz w:val="24"/>
          <w:szCs w:val="24"/>
        </w:rPr>
        <w:t>，同比</w:t>
      </w:r>
      <w:r w:rsidR="00F705A7" w:rsidRPr="00F705A7">
        <w:rPr>
          <w:rFonts w:asciiTheme="minorEastAsia" w:hAnsiTheme="minorEastAsia" w:hint="eastAsia"/>
          <w:sz w:val="24"/>
          <w:szCs w:val="24"/>
        </w:rPr>
        <w:t>下降6.89</w:t>
      </w:r>
      <w:r w:rsidR="002860B4" w:rsidRPr="00F705A7">
        <w:rPr>
          <w:rFonts w:asciiTheme="minorEastAsia" w:hAnsiTheme="minorEastAsia" w:hint="eastAsia"/>
          <w:sz w:val="24"/>
          <w:szCs w:val="24"/>
        </w:rPr>
        <w:t>%，环比</w:t>
      </w:r>
      <w:r w:rsidR="00F705A7" w:rsidRPr="00F705A7">
        <w:rPr>
          <w:rFonts w:asciiTheme="minorEastAsia" w:hAnsiTheme="minorEastAsia" w:hint="eastAsia"/>
          <w:sz w:val="24"/>
          <w:szCs w:val="24"/>
        </w:rPr>
        <w:t>下降22.86</w:t>
      </w:r>
      <w:r w:rsidR="002860B4" w:rsidRPr="00F705A7">
        <w:rPr>
          <w:rFonts w:asciiTheme="minorEastAsia" w:hAnsiTheme="minorEastAsia" w:hint="eastAsia"/>
          <w:sz w:val="24"/>
          <w:szCs w:val="24"/>
        </w:rPr>
        <w:t>%。一方面由于市场变暖的原因，另一方面由于一季度成交土地数量较少，所以二季度成交量无论同比还是环比均出现上涨。</w:t>
      </w:r>
    </w:p>
    <w:p w:rsidR="002860B4" w:rsidRDefault="00084915" w:rsidP="004550CA">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从用途来看，三</w:t>
      </w:r>
      <w:r w:rsidR="002860B4">
        <w:rPr>
          <w:rFonts w:asciiTheme="minorEastAsia" w:hAnsiTheme="minorEastAsia" w:hint="eastAsia"/>
          <w:sz w:val="24"/>
          <w:szCs w:val="24"/>
        </w:rPr>
        <w:t>季度成交</w:t>
      </w:r>
      <w:r w:rsidR="00E25624">
        <w:rPr>
          <w:rFonts w:asciiTheme="minorEastAsia" w:hAnsiTheme="minorEastAsia" w:hint="eastAsia"/>
          <w:sz w:val="24"/>
          <w:szCs w:val="24"/>
        </w:rPr>
        <w:t>地块</w:t>
      </w:r>
      <w:r w:rsidR="002860B4">
        <w:rPr>
          <w:rFonts w:asciiTheme="minorEastAsia" w:hAnsiTheme="minorEastAsia" w:hint="eastAsia"/>
          <w:sz w:val="24"/>
          <w:szCs w:val="24"/>
        </w:rPr>
        <w:t>以商业用地为主，</w:t>
      </w:r>
      <w:r w:rsidR="00E25624">
        <w:rPr>
          <w:rFonts w:asciiTheme="minorEastAsia" w:hAnsiTheme="minorEastAsia" w:hint="eastAsia"/>
          <w:sz w:val="24"/>
          <w:szCs w:val="24"/>
        </w:rPr>
        <w:t>占比达到5</w:t>
      </w:r>
      <w:r>
        <w:rPr>
          <w:rFonts w:asciiTheme="minorEastAsia" w:hAnsiTheme="minorEastAsia" w:hint="eastAsia"/>
          <w:sz w:val="24"/>
          <w:szCs w:val="24"/>
        </w:rPr>
        <w:t>1.85</w:t>
      </w:r>
      <w:r w:rsidR="00E25624">
        <w:rPr>
          <w:rFonts w:asciiTheme="minorEastAsia" w:hAnsiTheme="minorEastAsia" w:hint="eastAsia"/>
          <w:sz w:val="24"/>
          <w:szCs w:val="24"/>
        </w:rPr>
        <w:t>%，但平均每宗地规模不及纯住宅用地和商住用地</w:t>
      </w:r>
      <w:r w:rsidR="002860B4">
        <w:rPr>
          <w:rFonts w:asciiTheme="minorEastAsia" w:hAnsiTheme="minorEastAsia" w:hint="eastAsia"/>
          <w:sz w:val="24"/>
          <w:szCs w:val="24"/>
        </w:rPr>
        <w:t>。具体来看，</w:t>
      </w:r>
      <w:r w:rsidR="00E25624">
        <w:rPr>
          <w:rFonts w:asciiTheme="minorEastAsia" w:hAnsiTheme="minorEastAsia" w:hint="eastAsia"/>
          <w:sz w:val="24"/>
          <w:szCs w:val="24"/>
        </w:rPr>
        <w:t>纯住宅用地</w:t>
      </w:r>
      <w:r>
        <w:rPr>
          <w:rFonts w:asciiTheme="minorEastAsia" w:hAnsiTheme="minorEastAsia" w:hint="eastAsia"/>
          <w:sz w:val="24"/>
          <w:szCs w:val="24"/>
        </w:rPr>
        <w:t>10</w:t>
      </w:r>
      <w:r w:rsidR="00E25624">
        <w:rPr>
          <w:rFonts w:asciiTheme="minorEastAsia" w:hAnsiTheme="minorEastAsia" w:hint="eastAsia"/>
          <w:sz w:val="24"/>
          <w:szCs w:val="24"/>
        </w:rPr>
        <w:t>宗</w:t>
      </w:r>
      <w:r w:rsidR="003A07D5">
        <w:rPr>
          <w:rFonts w:asciiTheme="minorEastAsia" w:hAnsiTheme="minorEastAsia" w:hint="eastAsia"/>
          <w:sz w:val="24"/>
          <w:szCs w:val="24"/>
        </w:rPr>
        <w:t>，每宗地规模</w:t>
      </w:r>
      <w:r>
        <w:rPr>
          <w:rFonts w:asciiTheme="minorEastAsia" w:hAnsiTheme="minorEastAsia" w:hint="eastAsia"/>
          <w:sz w:val="24"/>
          <w:szCs w:val="24"/>
        </w:rPr>
        <w:t>8.42</w:t>
      </w:r>
      <w:r w:rsidR="003A07D5">
        <w:rPr>
          <w:rFonts w:asciiTheme="minorEastAsia" w:hAnsiTheme="minorEastAsia" w:hint="eastAsia"/>
          <w:sz w:val="24"/>
          <w:szCs w:val="24"/>
        </w:rPr>
        <w:t>公顷；商住用地</w:t>
      </w:r>
      <w:r>
        <w:rPr>
          <w:rFonts w:asciiTheme="minorEastAsia" w:hAnsiTheme="minorEastAsia" w:hint="eastAsia"/>
          <w:sz w:val="24"/>
          <w:szCs w:val="24"/>
        </w:rPr>
        <w:t>3</w:t>
      </w:r>
      <w:r w:rsidR="003A07D5">
        <w:rPr>
          <w:rFonts w:asciiTheme="minorEastAsia" w:hAnsiTheme="minorEastAsia" w:hint="eastAsia"/>
          <w:sz w:val="24"/>
          <w:szCs w:val="24"/>
        </w:rPr>
        <w:t>宗，平均每宗地规模</w:t>
      </w:r>
      <w:r>
        <w:rPr>
          <w:rFonts w:asciiTheme="minorEastAsia" w:hAnsiTheme="minorEastAsia" w:hint="eastAsia"/>
          <w:sz w:val="24"/>
          <w:szCs w:val="24"/>
        </w:rPr>
        <w:t>5.34</w:t>
      </w:r>
      <w:r w:rsidR="003A07D5">
        <w:rPr>
          <w:rFonts w:asciiTheme="minorEastAsia" w:hAnsiTheme="minorEastAsia" w:hint="eastAsia"/>
          <w:sz w:val="24"/>
          <w:szCs w:val="24"/>
        </w:rPr>
        <w:t>公顷；商业用地</w:t>
      </w:r>
      <w:r>
        <w:rPr>
          <w:rFonts w:asciiTheme="minorEastAsia" w:hAnsiTheme="minorEastAsia" w:hint="eastAsia"/>
          <w:sz w:val="24"/>
          <w:szCs w:val="24"/>
        </w:rPr>
        <w:t>14</w:t>
      </w:r>
      <w:r w:rsidR="003A07D5">
        <w:rPr>
          <w:rFonts w:asciiTheme="minorEastAsia" w:hAnsiTheme="minorEastAsia" w:hint="eastAsia"/>
          <w:sz w:val="24"/>
          <w:szCs w:val="24"/>
        </w:rPr>
        <w:t>宗，每宗地规模</w:t>
      </w:r>
      <w:r>
        <w:rPr>
          <w:rFonts w:asciiTheme="minorEastAsia" w:hAnsiTheme="minorEastAsia" w:hint="eastAsia"/>
          <w:sz w:val="24"/>
          <w:szCs w:val="24"/>
        </w:rPr>
        <w:t>2.94</w:t>
      </w:r>
      <w:r w:rsidR="003A07D5">
        <w:rPr>
          <w:rFonts w:asciiTheme="minorEastAsia" w:hAnsiTheme="minorEastAsia" w:hint="eastAsia"/>
          <w:sz w:val="24"/>
          <w:szCs w:val="24"/>
        </w:rPr>
        <w:t>公顷。</w:t>
      </w:r>
    </w:p>
    <w:p w:rsidR="00A478FF" w:rsidRDefault="00084915" w:rsidP="00A478FF">
      <w:pPr>
        <w:spacing w:line="360" w:lineRule="auto"/>
        <w:ind w:firstLineChars="200" w:firstLine="480"/>
        <w:jc w:val="left"/>
        <w:rPr>
          <w:rFonts w:asciiTheme="minorEastAsia" w:hAnsiTheme="minorEastAsia"/>
          <w:sz w:val="24"/>
          <w:szCs w:val="24"/>
        </w:rPr>
      </w:pPr>
      <w:r>
        <w:rPr>
          <w:rFonts w:hint="eastAsia"/>
          <w:sz w:val="24"/>
          <w:szCs w:val="24"/>
        </w:rPr>
        <w:t>从土地收入来看，三</w:t>
      </w:r>
      <w:r w:rsidR="00A478FF">
        <w:rPr>
          <w:rFonts w:hint="eastAsia"/>
          <w:sz w:val="24"/>
          <w:szCs w:val="24"/>
        </w:rPr>
        <w:t>季度实现</w:t>
      </w:r>
      <w:r>
        <w:rPr>
          <w:rFonts w:hint="eastAsia"/>
          <w:sz w:val="24"/>
          <w:szCs w:val="24"/>
        </w:rPr>
        <w:t>271.65</w:t>
      </w:r>
      <w:r w:rsidR="00A478FF">
        <w:rPr>
          <w:rFonts w:hint="eastAsia"/>
          <w:sz w:val="24"/>
          <w:szCs w:val="24"/>
        </w:rPr>
        <w:t>亿元，位居五市之首，且同比上涨</w:t>
      </w:r>
      <w:r w:rsidR="00F705A7" w:rsidRPr="00CE675E">
        <w:rPr>
          <w:rFonts w:hint="eastAsia"/>
          <w:sz w:val="24"/>
          <w:szCs w:val="24"/>
        </w:rPr>
        <w:t>250.14</w:t>
      </w:r>
      <w:r w:rsidR="00A478FF" w:rsidRPr="00CE675E">
        <w:rPr>
          <w:rFonts w:hint="eastAsia"/>
          <w:sz w:val="24"/>
          <w:szCs w:val="24"/>
        </w:rPr>
        <w:t>%</w:t>
      </w:r>
      <w:r w:rsidR="00A478FF" w:rsidRPr="00CE675E">
        <w:rPr>
          <w:rFonts w:hint="eastAsia"/>
          <w:sz w:val="24"/>
          <w:szCs w:val="24"/>
        </w:rPr>
        <w:t>，环比增长</w:t>
      </w:r>
      <w:r w:rsidR="00BE0A81" w:rsidRPr="00CE675E">
        <w:rPr>
          <w:rFonts w:hint="eastAsia"/>
          <w:sz w:val="24"/>
          <w:szCs w:val="24"/>
        </w:rPr>
        <w:t>108.89</w:t>
      </w:r>
      <w:r w:rsidR="00A478FF" w:rsidRPr="00CE675E">
        <w:rPr>
          <w:rFonts w:hint="eastAsia"/>
          <w:sz w:val="24"/>
          <w:szCs w:val="24"/>
        </w:rPr>
        <w:t>%</w:t>
      </w:r>
      <w:r w:rsidR="00A478FF" w:rsidRPr="00CE675E">
        <w:rPr>
          <w:rFonts w:hint="eastAsia"/>
          <w:sz w:val="24"/>
          <w:szCs w:val="24"/>
        </w:rPr>
        <w:t>，土地市场总体呈现不错的趋势。</w:t>
      </w:r>
    </w:p>
    <w:p w:rsidR="006102E5" w:rsidRDefault="00084915" w:rsidP="004550CA">
      <w:pPr>
        <w:spacing w:line="360" w:lineRule="auto"/>
        <w:ind w:firstLineChars="200" w:firstLine="480"/>
        <w:jc w:val="left"/>
        <w:rPr>
          <w:rFonts w:asciiTheme="minorEastAsia" w:hAnsiTheme="minorEastAsia"/>
          <w:sz w:val="24"/>
          <w:szCs w:val="24"/>
        </w:rPr>
      </w:pPr>
      <w:r w:rsidRPr="00CE675E">
        <w:rPr>
          <w:rFonts w:asciiTheme="minorEastAsia" w:hAnsiTheme="minorEastAsia" w:hint="eastAsia"/>
          <w:sz w:val="24"/>
          <w:szCs w:val="24"/>
        </w:rPr>
        <w:t>从楼面地价来看，三</w:t>
      </w:r>
      <w:r w:rsidR="00B03B4A" w:rsidRPr="00CE675E">
        <w:rPr>
          <w:rFonts w:asciiTheme="minorEastAsia" w:hAnsiTheme="minorEastAsia" w:hint="eastAsia"/>
          <w:sz w:val="24"/>
          <w:szCs w:val="24"/>
        </w:rPr>
        <w:t>季度楼面均价</w:t>
      </w:r>
      <w:r w:rsidRPr="00CE675E">
        <w:rPr>
          <w:rFonts w:asciiTheme="minorEastAsia" w:hAnsiTheme="minorEastAsia" w:hint="eastAsia"/>
          <w:sz w:val="24"/>
          <w:szCs w:val="24"/>
        </w:rPr>
        <w:t>10544</w:t>
      </w:r>
      <w:r w:rsidR="00B03B4A" w:rsidRPr="00CE675E">
        <w:rPr>
          <w:rFonts w:asciiTheme="minorEastAsia" w:hAnsiTheme="minorEastAsia" w:hint="eastAsia"/>
          <w:sz w:val="24"/>
          <w:szCs w:val="24"/>
        </w:rPr>
        <w:t>元/m</w:t>
      </w:r>
      <w:r w:rsidR="00B03B4A" w:rsidRPr="00CE675E">
        <w:rPr>
          <w:rFonts w:asciiTheme="minorEastAsia" w:hAnsiTheme="minorEastAsia" w:hint="eastAsia"/>
          <w:sz w:val="24"/>
          <w:szCs w:val="24"/>
          <w:vertAlign w:val="superscript"/>
        </w:rPr>
        <w:t>2</w:t>
      </w:r>
      <w:r w:rsidR="00B03B4A" w:rsidRPr="00CE675E">
        <w:rPr>
          <w:rFonts w:asciiTheme="minorEastAsia" w:hAnsiTheme="minorEastAsia" w:hint="eastAsia"/>
          <w:sz w:val="24"/>
          <w:szCs w:val="24"/>
        </w:rPr>
        <w:t>，同比增加</w:t>
      </w:r>
      <w:r w:rsidR="00CE675E" w:rsidRPr="00CE675E">
        <w:rPr>
          <w:rFonts w:asciiTheme="minorEastAsia" w:hAnsiTheme="minorEastAsia" w:hint="eastAsia"/>
          <w:sz w:val="24"/>
          <w:szCs w:val="24"/>
        </w:rPr>
        <w:t>231.36</w:t>
      </w:r>
      <w:r w:rsidR="00B03B4A" w:rsidRPr="00CE675E">
        <w:rPr>
          <w:rFonts w:asciiTheme="minorEastAsia" w:hAnsiTheme="minorEastAsia" w:hint="eastAsia"/>
          <w:sz w:val="24"/>
          <w:szCs w:val="24"/>
        </w:rPr>
        <w:t>%，环比增加</w:t>
      </w:r>
      <w:r w:rsidR="00CE675E" w:rsidRPr="00CE675E">
        <w:rPr>
          <w:rFonts w:asciiTheme="minorEastAsia" w:hAnsiTheme="minorEastAsia" w:hint="eastAsia"/>
          <w:sz w:val="24"/>
          <w:szCs w:val="24"/>
        </w:rPr>
        <w:t>84.79</w:t>
      </w:r>
      <w:r w:rsidR="00B03B4A" w:rsidRPr="00CE675E">
        <w:rPr>
          <w:rFonts w:asciiTheme="minorEastAsia" w:hAnsiTheme="minorEastAsia" w:hint="eastAsia"/>
          <w:sz w:val="24"/>
          <w:szCs w:val="24"/>
        </w:rPr>
        <w:t>%。</w:t>
      </w:r>
      <w:r>
        <w:rPr>
          <w:rFonts w:asciiTheme="minorEastAsia" w:hAnsiTheme="minorEastAsia" w:hint="eastAsia"/>
          <w:sz w:val="24"/>
          <w:szCs w:val="24"/>
        </w:rPr>
        <w:t>三</w:t>
      </w:r>
      <w:r w:rsidR="00B03B4A">
        <w:rPr>
          <w:rFonts w:asciiTheme="minorEastAsia" w:hAnsiTheme="minorEastAsia" w:hint="eastAsia"/>
          <w:sz w:val="24"/>
          <w:szCs w:val="24"/>
        </w:rPr>
        <w:t>季度楼面均价无论是同比还是环比均出现大幅上涨，一方面源于开发商对市场的看好，市场竞争程度明显提升，另一方面优质地块比例的增加。具体来看，苏州市同样纯住宅用地楼面均价最高，达到</w:t>
      </w:r>
      <w:r>
        <w:rPr>
          <w:rFonts w:asciiTheme="minorEastAsia" w:hAnsiTheme="minorEastAsia" w:hint="eastAsia"/>
          <w:sz w:val="24"/>
          <w:szCs w:val="24"/>
        </w:rPr>
        <w:t>12782</w:t>
      </w:r>
      <w:r w:rsidR="00D2286B">
        <w:rPr>
          <w:rFonts w:asciiTheme="minorEastAsia" w:hAnsiTheme="minorEastAsia" w:hint="eastAsia"/>
          <w:sz w:val="24"/>
          <w:szCs w:val="24"/>
        </w:rPr>
        <w:t>元</w:t>
      </w:r>
      <w:r w:rsidR="00B03B4A">
        <w:rPr>
          <w:rFonts w:asciiTheme="minorEastAsia" w:hAnsiTheme="minorEastAsia" w:hint="eastAsia"/>
          <w:sz w:val="24"/>
          <w:szCs w:val="24"/>
        </w:rPr>
        <w:t>/m</w:t>
      </w:r>
      <w:r w:rsidR="00B03B4A">
        <w:rPr>
          <w:rFonts w:asciiTheme="minorEastAsia" w:hAnsiTheme="minorEastAsia" w:hint="eastAsia"/>
          <w:sz w:val="24"/>
          <w:szCs w:val="24"/>
          <w:vertAlign w:val="superscript"/>
        </w:rPr>
        <w:t>2</w:t>
      </w:r>
      <w:r w:rsidR="00B03B4A">
        <w:rPr>
          <w:rFonts w:asciiTheme="minorEastAsia" w:hAnsiTheme="minorEastAsia" w:hint="eastAsia"/>
          <w:sz w:val="24"/>
          <w:szCs w:val="24"/>
        </w:rPr>
        <w:t>；商住用地</w:t>
      </w:r>
      <w:r w:rsidR="009B2AEC">
        <w:rPr>
          <w:rFonts w:asciiTheme="minorEastAsia" w:hAnsiTheme="minorEastAsia" w:hint="eastAsia"/>
          <w:sz w:val="24"/>
          <w:szCs w:val="24"/>
        </w:rPr>
        <w:t>楼面均价</w:t>
      </w:r>
      <w:r>
        <w:rPr>
          <w:rFonts w:asciiTheme="minorEastAsia" w:hAnsiTheme="minorEastAsia" w:hint="eastAsia"/>
          <w:sz w:val="24"/>
          <w:szCs w:val="24"/>
        </w:rPr>
        <w:t>3357</w:t>
      </w:r>
      <w:r w:rsidR="009B2AEC">
        <w:rPr>
          <w:rFonts w:asciiTheme="minorEastAsia" w:hAnsiTheme="minorEastAsia" w:hint="eastAsia"/>
          <w:sz w:val="24"/>
          <w:szCs w:val="24"/>
        </w:rPr>
        <w:t>元/m</w:t>
      </w:r>
      <w:r w:rsidR="009B2AEC">
        <w:rPr>
          <w:rFonts w:asciiTheme="minorEastAsia" w:hAnsiTheme="minorEastAsia" w:hint="eastAsia"/>
          <w:sz w:val="24"/>
          <w:szCs w:val="24"/>
          <w:vertAlign w:val="superscript"/>
        </w:rPr>
        <w:t>2</w:t>
      </w:r>
      <w:r w:rsidR="009B2AEC">
        <w:rPr>
          <w:rFonts w:asciiTheme="minorEastAsia" w:hAnsiTheme="minorEastAsia" w:hint="eastAsia"/>
          <w:sz w:val="24"/>
          <w:szCs w:val="24"/>
        </w:rPr>
        <w:t>；商业用地楼面均价</w:t>
      </w:r>
      <w:r>
        <w:rPr>
          <w:rFonts w:asciiTheme="minorEastAsia" w:hAnsiTheme="minorEastAsia" w:hint="eastAsia"/>
          <w:sz w:val="24"/>
          <w:szCs w:val="24"/>
        </w:rPr>
        <w:t>8372</w:t>
      </w:r>
      <w:r w:rsidR="00D2286B">
        <w:rPr>
          <w:rFonts w:asciiTheme="minorEastAsia" w:hAnsiTheme="minorEastAsia" w:hint="eastAsia"/>
          <w:sz w:val="24"/>
          <w:szCs w:val="24"/>
        </w:rPr>
        <w:t>元</w:t>
      </w:r>
      <w:r w:rsidR="009B2AEC">
        <w:rPr>
          <w:rFonts w:asciiTheme="minorEastAsia" w:hAnsiTheme="minorEastAsia" w:hint="eastAsia"/>
          <w:sz w:val="24"/>
          <w:szCs w:val="24"/>
        </w:rPr>
        <w:t>/m</w:t>
      </w:r>
      <w:r w:rsidR="009B2AEC">
        <w:rPr>
          <w:rFonts w:asciiTheme="minorEastAsia" w:hAnsiTheme="minorEastAsia" w:hint="eastAsia"/>
          <w:sz w:val="24"/>
          <w:szCs w:val="24"/>
          <w:vertAlign w:val="superscript"/>
        </w:rPr>
        <w:t>2</w:t>
      </w:r>
      <w:r w:rsidR="009B2AEC">
        <w:rPr>
          <w:rFonts w:asciiTheme="minorEastAsia" w:hAnsiTheme="minorEastAsia" w:hint="eastAsia"/>
          <w:sz w:val="24"/>
          <w:szCs w:val="24"/>
        </w:rPr>
        <w:t>。</w:t>
      </w:r>
    </w:p>
    <w:p w:rsidR="000274CC" w:rsidRDefault="000274CC" w:rsidP="004550CA">
      <w:pPr>
        <w:spacing w:line="360" w:lineRule="auto"/>
        <w:ind w:firstLineChars="200" w:firstLine="480"/>
        <w:jc w:val="left"/>
        <w:rPr>
          <w:sz w:val="24"/>
          <w:szCs w:val="24"/>
        </w:rPr>
      </w:pPr>
      <w:r>
        <w:rPr>
          <w:rFonts w:asciiTheme="minorEastAsia" w:hAnsiTheme="minorEastAsia" w:hint="eastAsia"/>
          <w:sz w:val="24"/>
          <w:szCs w:val="24"/>
        </w:rPr>
        <w:t>从地块竞价程度来看，</w:t>
      </w:r>
      <w:r w:rsidR="00B0440B">
        <w:rPr>
          <w:rFonts w:asciiTheme="minorEastAsia" w:hAnsiTheme="minorEastAsia" w:hint="eastAsia"/>
          <w:sz w:val="24"/>
          <w:szCs w:val="24"/>
        </w:rPr>
        <w:t>苏州市溢价地块</w:t>
      </w:r>
      <w:r w:rsidR="00084915">
        <w:rPr>
          <w:rFonts w:asciiTheme="minorEastAsia" w:hAnsiTheme="minorEastAsia" w:hint="eastAsia"/>
          <w:sz w:val="24"/>
          <w:szCs w:val="24"/>
        </w:rPr>
        <w:t>15</w:t>
      </w:r>
      <w:r w:rsidR="00B0440B">
        <w:rPr>
          <w:rFonts w:asciiTheme="minorEastAsia" w:hAnsiTheme="minorEastAsia" w:hint="eastAsia"/>
          <w:sz w:val="24"/>
          <w:szCs w:val="24"/>
        </w:rPr>
        <w:t>宗，</w:t>
      </w:r>
      <w:r w:rsidR="00934573">
        <w:rPr>
          <w:rFonts w:asciiTheme="minorEastAsia" w:hAnsiTheme="minorEastAsia" w:hint="eastAsia"/>
          <w:sz w:val="24"/>
          <w:szCs w:val="24"/>
        </w:rPr>
        <w:t>且纯住宅</w:t>
      </w:r>
      <w:r w:rsidR="004B493B">
        <w:rPr>
          <w:rFonts w:hint="eastAsia"/>
          <w:sz w:val="24"/>
          <w:szCs w:val="24"/>
        </w:rPr>
        <w:t>、</w:t>
      </w:r>
      <w:r w:rsidR="00934573">
        <w:rPr>
          <w:rFonts w:asciiTheme="minorEastAsia" w:hAnsiTheme="minorEastAsia" w:hint="eastAsia"/>
          <w:sz w:val="24"/>
          <w:szCs w:val="24"/>
        </w:rPr>
        <w:t>商住</w:t>
      </w:r>
      <w:r w:rsidR="004B493B">
        <w:rPr>
          <w:rFonts w:hint="eastAsia"/>
          <w:sz w:val="24"/>
          <w:szCs w:val="24"/>
        </w:rPr>
        <w:t>和商业用地均有地块出现溢价，市场竞争程度相当激烈。</w:t>
      </w:r>
      <w:r w:rsidR="005A716C">
        <w:rPr>
          <w:rFonts w:hint="eastAsia"/>
          <w:sz w:val="24"/>
          <w:szCs w:val="24"/>
        </w:rPr>
        <w:t>分用途来看，</w:t>
      </w:r>
      <w:r w:rsidR="00084915">
        <w:rPr>
          <w:rFonts w:hint="eastAsia"/>
          <w:sz w:val="24"/>
          <w:szCs w:val="24"/>
        </w:rPr>
        <w:t>纯住宅</w:t>
      </w:r>
      <w:r w:rsidR="005A716C">
        <w:rPr>
          <w:rFonts w:hint="eastAsia"/>
          <w:sz w:val="24"/>
          <w:szCs w:val="24"/>
        </w:rPr>
        <w:t>用地溢价情况最为明显，</w:t>
      </w:r>
      <w:r w:rsidR="00084915">
        <w:rPr>
          <w:rFonts w:hint="eastAsia"/>
          <w:sz w:val="24"/>
          <w:szCs w:val="24"/>
        </w:rPr>
        <w:t>10</w:t>
      </w:r>
      <w:r w:rsidR="005A716C">
        <w:rPr>
          <w:rFonts w:hint="eastAsia"/>
          <w:sz w:val="24"/>
          <w:szCs w:val="24"/>
        </w:rPr>
        <w:t>宗地均溢价成交，溢价占比达到</w:t>
      </w:r>
      <w:r w:rsidR="005A716C">
        <w:rPr>
          <w:rFonts w:hint="eastAsia"/>
          <w:sz w:val="24"/>
          <w:szCs w:val="24"/>
        </w:rPr>
        <w:t>100%</w:t>
      </w:r>
      <w:r w:rsidR="008F48C6">
        <w:rPr>
          <w:rFonts w:hint="eastAsia"/>
          <w:sz w:val="24"/>
          <w:szCs w:val="24"/>
        </w:rPr>
        <w:t>，且溢价率达到</w:t>
      </w:r>
      <w:r w:rsidR="008F48C6">
        <w:rPr>
          <w:rFonts w:hint="eastAsia"/>
          <w:sz w:val="24"/>
          <w:szCs w:val="24"/>
        </w:rPr>
        <w:t>90.11</w:t>
      </w:r>
      <w:r w:rsidR="005A716C">
        <w:rPr>
          <w:rFonts w:hint="eastAsia"/>
          <w:sz w:val="24"/>
          <w:szCs w:val="24"/>
        </w:rPr>
        <w:t>%</w:t>
      </w:r>
      <w:r w:rsidR="005A716C">
        <w:rPr>
          <w:rFonts w:hint="eastAsia"/>
          <w:sz w:val="24"/>
          <w:szCs w:val="24"/>
        </w:rPr>
        <w:t>。</w:t>
      </w:r>
      <w:r w:rsidR="008F48C6">
        <w:rPr>
          <w:rFonts w:hint="eastAsia"/>
          <w:sz w:val="24"/>
          <w:szCs w:val="24"/>
        </w:rPr>
        <w:t>商业</w:t>
      </w:r>
      <w:r w:rsidR="005A716C">
        <w:rPr>
          <w:rFonts w:hint="eastAsia"/>
          <w:sz w:val="24"/>
          <w:szCs w:val="24"/>
        </w:rPr>
        <w:t>用地溢价亦相当明显，</w:t>
      </w:r>
      <w:r w:rsidR="008F48C6">
        <w:rPr>
          <w:rFonts w:hint="eastAsia"/>
          <w:sz w:val="24"/>
          <w:szCs w:val="24"/>
        </w:rPr>
        <w:t>14</w:t>
      </w:r>
      <w:r w:rsidR="00B434EE">
        <w:rPr>
          <w:rFonts w:hint="eastAsia"/>
          <w:sz w:val="24"/>
          <w:szCs w:val="24"/>
        </w:rPr>
        <w:t>宗地中</w:t>
      </w:r>
      <w:r w:rsidR="008F48C6">
        <w:rPr>
          <w:rFonts w:hint="eastAsia"/>
          <w:sz w:val="24"/>
          <w:szCs w:val="24"/>
        </w:rPr>
        <w:t>4</w:t>
      </w:r>
      <w:r w:rsidR="00B434EE">
        <w:rPr>
          <w:rFonts w:hint="eastAsia"/>
          <w:sz w:val="24"/>
          <w:szCs w:val="24"/>
        </w:rPr>
        <w:t>宗地块溢价成交，溢价率达到</w:t>
      </w:r>
      <w:r w:rsidR="008F48C6">
        <w:rPr>
          <w:rFonts w:hint="eastAsia"/>
          <w:sz w:val="24"/>
          <w:szCs w:val="24"/>
        </w:rPr>
        <w:t>202</w:t>
      </w:r>
      <w:r w:rsidR="00B434EE">
        <w:rPr>
          <w:rFonts w:hint="eastAsia"/>
          <w:sz w:val="24"/>
          <w:szCs w:val="24"/>
        </w:rPr>
        <w:t>%</w:t>
      </w:r>
      <w:r w:rsidR="008F48C6">
        <w:rPr>
          <w:rFonts w:hint="eastAsia"/>
          <w:sz w:val="24"/>
          <w:szCs w:val="24"/>
        </w:rPr>
        <w:t>；商住</w:t>
      </w:r>
      <w:r w:rsidR="00B434EE">
        <w:rPr>
          <w:rFonts w:hint="eastAsia"/>
          <w:sz w:val="24"/>
          <w:szCs w:val="24"/>
        </w:rPr>
        <w:lastRenderedPageBreak/>
        <w:t>用地亦出现</w:t>
      </w:r>
      <w:r w:rsidR="00B434EE">
        <w:rPr>
          <w:rFonts w:hint="eastAsia"/>
          <w:sz w:val="24"/>
          <w:szCs w:val="24"/>
        </w:rPr>
        <w:t>1</w:t>
      </w:r>
      <w:r w:rsidR="00B434EE">
        <w:rPr>
          <w:rFonts w:hint="eastAsia"/>
          <w:sz w:val="24"/>
          <w:szCs w:val="24"/>
        </w:rPr>
        <w:t>宗地溢价，溢价率</w:t>
      </w:r>
      <w:r w:rsidR="00B434EE">
        <w:rPr>
          <w:rFonts w:hint="eastAsia"/>
          <w:sz w:val="24"/>
          <w:szCs w:val="24"/>
        </w:rPr>
        <w:t>2</w:t>
      </w:r>
      <w:r w:rsidR="008F48C6">
        <w:rPr>
          <w:rFonts w:hint="eastAsia"/>
          <w:sz w:val="24"/>
          <w:szCs w:val="24"/>
        </w:rPr>
        <w:t>1.24</w:t>
      </w:r>
      <w:r w:rsidR="00B434EE">
        <w:rPr>
          <w:rFonts w:hint="eastAsia"/>
          <w:sz w:val="24"/>
          <w:szCs w:val="24"/>
        </w:rPr>
        <w:t>%</w:t>
      </w:r>
      <w:r w:rsidR="00B434EE">
        <w:rPr>
          <w:rFonts w:hint="eastAsia"/>
          <w:sz w:val="24"/>
          <w:szCs w:val="24"/>
        </w:rPr>
        <w:t>，</w:t>
      </w:r>
      <w:r w:rsidR="00B434EE" w:rsidRPr="00CE675E">
        <w:rPr>
          <w:rFonts w:hint="eastAsia"/>
          <w:sz w:val="24"/>
          <w:szCs w:val="24"/>
        </w:rPr>
        <w:t>在住宅优惠政策放宽的情况下，商业地产市场受到一定的抑制，在此</w:t>
      </w:r>
      <w:proofErr w:type="gramStart"/>
      <w:r w:rsidR="00B434EE" w:rsidRPr="00CE675E">
        <w:rPr>
          <w:rFonts w:hint="eastAsia"/>
          <w:sz w:val="24"/>
          <w:szCs w:val="24"/>
        </w:rPr>
        <w:t>情况下宗地</w:t>
      </w:r>
      <w:proofErr w:type="gramEnd"/>
      <w:r w:rsidR="00B434EE" w:rsidRPr="00CE675E">
        <w:rPr>
          <w:rFonts w:hint="eastAsia"/>
          <w:sz w:val="24"/>
          <w:szCs w:val="24"/>
        </w:rPr>
        <w:t>能实现溢价</w:t>
      </w:r>
      <w:r w:rsidR="00CE675E">
        <w:rPr>
          <w:rFonts w:hint="eastAsia"/>
          <w:sz w:val="24"/>
          <w:szCs w:val="24"/>
        </w:rPr>
        <w:t>已非常不错</w:t>
      </w:r>
      <w:r w:rsidR="00B434EE" w:rsidRPr="00CE675E">
        <w:rPr>
          <w:rFonts w:hint="eastAsia"/>
          <w:sz w:val="24"/>
          <w:szCs w:val="24"/>
        </w:rPr>
        <w:t>。</w:t>
      </w:r>
    </w:p>
    <w:p w:rsidR="00462E71" w:rsidRPr="00885951" w:rsidRDefault="00462E71" w:rsidP="00462E71">
      <w:pPr>
        <w:spacing w:line="360" w:lineRule="auto"/>
        <w:jc w:val="center"/>
        <w:rPr>
          <w:b/>
          <w:sz w:val="24"/>
          <w:szCs w:val="24"/>
        </w:rPr>
      </w:pPr>
      <w:r w:rsidRPr="00885951">
        <w:rPr>
          <w:rFonts w:asciiTheme="minorEastAsia" w:hAnsiTheme="minorEastAsia" w:hint="eastAsia"/>
          <w:b/>
          <w:szCs w:val="21"/>
        </w:rPr>
        <w:t>表</w:t>
      </w:r>
      <w:r w:rsidR="00885951" w:rsidRPr="00885951">
        <w:rPr>
          <w:rFonts w:asciiTheme="minorEastAsia" w:hAnsiTheme="minorEastAsia" w:hint="eastAsia"/>
          <w:b/>
          <w:szCs w:val="21"/>
        </w:rPr>
        <w:t>4</w:t>
      </w:r>
      <w:r w:rsidRPr="00885951">
        <w:rPr>
          <w:rFonts w:asciiTheme="minorEastAsia" w:hAnsiTheme="minorEastAsia" w:hint="eastAsia"/>
          <w:b/>
          <w:szCs w:val="21"/>
        </w:rPr>
        <w:t xml:space="preserve"> 2015</w:t>
      </w:r>
      <w:r w:rsidR="008F48C6">
        <w:rPr>
          <w:rFonts w:asciiTheme="minorEastAsia" w:hAnsiTheme="minorEastAsia" w:hint="eastAsia"/>
          <w:b/>
          <w:szCs w:val="21"/>
        </w:rPr>
        <w:t>年三</w:t>
      </w:r>
      <w:r w:rsidRPr="00885951">
        <w:rPr>
          <w:rFonts w:asciiTheme="minorEastAsia" w:hAnsiTheme="minorEastAsia" w:hint="eastAsia"/>
          <w:b/>
          <w:szCs w:val="21"/>
        </w:rPr>
        <w:t>季度苏州市土地市场成交情况</w:t>
      </w:r>
    </w:p>
    <w:tbl>
      <w:tblPr>
        <w:tblW w:w="5137" w:type="pct"/>
        <w:tblLayout w:type="fixed"/>
        <w:tblLook w:val="04A0" w:firstRow="1" w:lastRow="0" w:firstColumn="1" w:lastColumn="0" w:noHBand="0" w:noVBand="1"/>
      </w:tblPr>
      <w:tblGrid>
        <w:gridCol w:w="960"/>
        <w:gridCol w:w="567"/>
        <w:gridCol w:w="907"/>
        <w:gridCol w:w="937"/>
        <w:gridCol w:w="993"/>
        <w:gridCol w:w="993"/>
        <w:gridCol w:w="853"/>
        <w:gridCol w:w="849"/>
        <w:gridCol w:w="704"/>
        <w:gridCol w:w="993"/>
      </w:tblGrid>
      <w:tr w:rsidR="004550CA" w:rsidRPr="004550CA" w:rsidTr="00A8388F">
        <w:trPr>
          <w:trHeight w:val="988"/>
        </w:trPr>
        <w:tc>
          <w:tcPr>
            <w:tcW w:w="548" w:type="pc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4550CA" w:rsidRPr="004550CA" w:rsidRDefault="004550CA" w:rsidP="004550CA">
            <w:pPr>
              <w:widowControl/>
              <w:jc w:val="center"/>
              <w:rPr>
                <w:rFonts w:ascii="宋体" w:eastAsia="宋体" w:hAnsi="宋体" w:cs="宋体"/>
                <w:b/>
                <w:color w:val="000000"/>
                <w:kern w:val="0"/>
                <w:szCs w:val="21"/>
              </w:rPr>
            </w:pPr>
            <w:r w:rsidRPr="004550CA">
              <w:rPr>
                <w:rFonts w:ascii="宋体" w:eastAsia="宋体" w:hAnsi="宋体" w:cs="宋体" w:hint="eastAsia"/>
                <w:b/>
                <w:color w:val="000000"/>
                <w:kern w:val="0"/>
                <w:szCs w:val="21"/>
              </w:rPr>
              <w:t>用途</w:t>
            </w:r>
          </w:p>
        </w:tc>
        <w:tc>
          <w:tcPr>
            <w:tcW w:w="324" w:type="pct"/>
            <w:tcBorders>
              <w:top w:val="single" w:sz="4" w:space="0" w:color="auto"/>
              <w:left w:val="nil"/>
              <w:bottom w:val="single" w:sz="4" w:space="0" w:color="auto"/>
              <w:right w:val="single" w:sz="4" w:space="0" w:color="auto"/>
            </w:tcBorders>
            <w:shd w:val="clear" w:color="000000" w:fill="D7E4BC"/>
            <w:noWrap/>
            <w:vAlign w:val="center"/>
            <w:hideMark/>
          </w:tcPr>
          <w:p w:rsidR="004550CA" w:rsidRPr="004550CA" w:rsidRDefault="004550CA" w:rsidP="004550CA">
            <w:pPr>
              <w:widowControl/>
              <w:jc w:val="center"/>
              <w:rPr>
                <w:rFonts w:ascii="宋体" w:eastAsia="宋体" w:hAnsi="宋体" w:cs="宋体"/>
                <w:b/>
                <w:color w:val="000000"/>
                <w:kern w:val="0"/>
                <w:szCs w:val="21"/>
              </w:rPr>
            </w:pPr>
            <w:r w:rsidRPr="004550CA">
              <w:rPr>
                <w:rFonts w:ascii="宋体" w:eastAsia="宋体" w:hAnsi="宋体" w:cs="宋体" w:hint="eastAsia"/>
                <w:b/>
                <w:color w:val="000000"/>
                <w:kern w:val="0"/>
                <w:szCs w:val="21"/>
              </w:rPr>
              <w:t>宗数</w:t>
            </w:r>
          </w:p>
        </w:tc>
        <w:tc>
          <w:tcPr>
            <w:tcW w:w="518" w:type="pct"/>
            <w:tcBorders>
              <w:top w:val="single" w:sz="4" w:space="0" w:color="auto"/>
              <w:left w:val="nil"/>
              <w:bottom w:val="single" w:sz="4" w:space="0" w:color="auto"/>
              <w:right w:val="single" w:sz="4" w:space="0" w:color="auto"/>
            </w:tcBorders>
            <w:shd w:val="clear" w:color="000000" w:fill="D7E4BC"/>
            <w:vAlign w:val="center"/>
            <w:hideMark/>
          </w:tcPr>
          <w:p w:rsidR="004550CA" w:rsidRPr="004550CA" w:rsidRDefault="004550CA" w:rsidP="004550CA">
            <w:pPr>
              <w:widowControl/>
              <w:jc w:val="center"/>
              <w:rPr>
                <w:rFonts w:ascii="宋体" w:eastAsia="宋体" w:hAnsi="宋体" w:cs="宋体"/>
                <w:b/>
                <w:color w:val="000000"/>
                <w:kern w:val="0"/>
                <w:szCs w:val="21"/>
              </w:rPr>
            </w:pPr>
            <w:r w:rsidRPr="004550CA">
              <w:rPr>
                <w:rFonts w:ascii="宋体" w:eastAsia="宋体" w:hAnsi="宋体" w:cs="宋体" w:hint="eastAsia"/>
                <w:b/>
                <w:color w:val="000000"/>
                <w:kern w:val="0"/>
                <w:szCs w:val="21"/>
              </w:rPr>
              <w:t>成交金额（亿元）</w:t>
            </w:r>
          </w:p>
        </w:tc>
        <w:tc>
          <w:tcPr>
            <w:tcW w:w="535" w:type="pct"/>
            <w:tcBorders>
              <w:top w:val="single" w:sz="4" w:space="0" w:color="auto"/>
              <w:left w:val="nil"/>
              <w:bottom w:val="single" w:sz="4" w:space="0" w:color="auto"/>
              <w:right w:val="single" w:sz="4" w:space="0" w:color="auto"/>
            </w:tcBorders>
            <w:shd w:val="clear" w:color="000000" w:fill="D7E4BC"/>
            <w:vAlign w:val="center"/>
            <w:hideMark/>
          </w:tcPr>
          <w:p w:rsidR="004550CA" w:rsidRPr="004550CA" w:rsidRDefault="004550CA" w:rsidP="004550CA">
            <w:pPr>
              <w:widowControl/>
              <w:jc w:val="center"/>
              <w:rPr>
                <w:rFonts w:ascii="宋体" w:eastAsia="宋体" w:hAnsi="宋体" w:cs="宋体"/>
                <w:b/>
                <w:color w:val="000000"/>
                <w:kern w:val="0"/>
                <w:szCs w:val="21"/>
              </w:rPr>
            </w:pPr>
            <w:r w:rsidRPr="004550CA">
              <w:rPr>
                <w:rFonts w:ascii="宋体" w:eastAsia="宋体" w:hAnsi="宋体" w:cs="宋体" w:hint="eastAsia"/>
                <w:b/>
                <w:color w:val="000000"/>
                <w:kern w:val="0"/>
                <w:szCs w:val="21"/>
              </w:rPr>
              <w:t>宗地面积（万m2）</w:t>
            </w:r>
          </w:p>
        </w:tc>
        <w:tc>
          <w:tcPr>
            <w:tcW w:w="567" w:type="pct"/>
            <w:tcBorders>
              <w:top w:val="single" w:sz="4" w:space="0" w:color="auto"/>
              <w:left w:val="nil"/>
              <w:bottom w:val="single" w:sz="4" w:space="0" w:color="auto"/>
              <w:right w:val="single" w:sz="4" w:space="0" w:color="auto"/>
            </w:tcBorders>
            <w:shd w:val="clear" w:color="000000" w:fill="D7E4BC"/>
            <w:vAlign w:val="center"/>
            <w:hideMark/>
          </w:tcPr>
          <w:p w:rsidR="004550CA" w:rsidRPr="004550CA" w:rsidRDefault="004550CA" w:rsidP="004550CA">
            <w:pPr>
              <w:widowControl/>
              <w:jc w:val="center"/>
              <w:rPr>
                <w:rFonts w:ascii="宋体" w:eastAsia="宋体" w:hAnsi="宋体" w:cs="宋体"/>
                <w:b/>
                <w:color w:val="000000"/>
                <w:kern w:val="0"/>
                <w:szCs w:val="21"/>
              </w:rPr>
            </w:pPr>
            <w:r w:rsidRPr="004550CA">
              <w:rPr>
                <w:rFonts w:ascii="宋体" w:eastAsia="宋体" w:hAnsi="宋体" w:cs="宋体" w:hint="eastAsia"/>
                <w:b/>
                <w:color w:val="000000"/>
                <w:kern w:val="0"/>
                <w:szCs w:val="21"/>
              </w:rPr>
              <w:t>平均规模（万m2）</w:t>
            </w:r>
          </w:p>
        </w:tc>
        <w:tc>
          <w:tcPr>
            <w:tcW w:w="567" w:type="pct"/>
            <w:tcBorders>
              <w:top w:val="single" w:sz="4" w:space="0" w:color="auto"/>
              <w:left w:val="nil"/>
              <w:bottom w:val="single" w:sz="4" w:space="0" w:color="auto"/>
              <w:right w:val="single" w:sz="4" w:space="0" w:color="auto"/>
            </w:tcBorders>
            <w:shd w:val="clear" w:color="000000" w:fill="D7E4BC"/>
            <w:vAlign w:val="center"/>
            <w:hideMark/>
          </w:tcPr>
          <w:p w:rsidR="004550CA" w:rsidRPr="004550CA" w:rsidRDefault="004550CA" w:rsidP="004550CA">
            <w:pPr>
              <w:widowControl/>
              <w:jc w:val="center"/>
              <w:rPr>
                <w:rFonts w:ascii="宋体" w:eastAsia="宋体" w:hAnsi="宋体" w:cs="宋体"/>
                <w:b/>
                <w:color w:val="000000"/>
                <w:kern w:val="0"/>
                <w:szCs w:val="21"/>
              </w:rPr>
            </w:pPr>
            <w:r w:rsidRPr="004550CA">
              <w:rPr>
                <w:rFonts w:ascii="宋体" w:eastAsia="宋体" w:hAnsi="宋体" w:cs="宋体" w:hint="eastAsia"/>
                <w:b/>
                <w:color w:val="000000"/>
                <w:kern w:val="0"/>
                <w:szCs w:val="21"/>
              </w:rPr>
              <w:t>建筑面积（万m2）</w:t>
            </w:r>
          </w:p>
        </w:tc>
        <w:tc>
          <w:tcPr>
            <w:tcW w:w="487" w:type="pct"/>
            <w:tcBorders>
              <w:top w:val="single" w:sz="4" w:space="0" w:color="auto"/>
              <w:left w:val="nil"/>
              <w:bottom w:val="single" w:sz="4" w:space="0" w:color="auto"/>
              <w:right w:val="single" w:sz="4" w:space="0" w:color="auto"/>
            </w:tcBorders>
            <w:shd w:val="clear" w:color="000000" w:fill="D7E4BC"/>
            <w:vAlign w:val="center"/>
            <w:hideMark/>
          </w:tcPr>
          <w:p w:rsidR="004550CA" w:rsidRPr="004550CA" w:rsidRDefault="004550CA" w:rsidP="004550CA">
            <w:pPr>
              <w:widowControl/>
              <w:jc w:val="center"/>
              <w:rPr>
                <w:rFonts w:ascii="宋体" w:eastAsia="宋体" w:hAnsi="宋体" w:cs="宋体"/>
                <w:b/>
                <w:color w:val="000000"/>
                <w:kern w:val="0"/>
                <w:szCs w:val="21"/>
              </w:rPr>
            </w:pPr>
            <w:r w:rsidRPr="004550CA">
              <w:rPr>
                <w:rFonts w:ascii="宋体" w:eastAsia="宋体" w:hAnsi="宋体" w:cs="宋体" w:hint="eastAsia"/>
                <w:b/>
                <w:color w:val="000000"/>
                <w:kern w:val="0"/>
                <w:szCs w:val="21"/>
              </w:rPr>
              <w:t>平均容积率</w:t>
            </w:r>
          </w:p>
        </w:tc>
        <w:tc>
          <w:tcPr>
            <w:tcW w:w="485" w:type="pct"/>
            <w:tcBorders>
              <w:top w:val="single" w:sz="4" w:space="0" w:color="auto"/>
              <w:left w:val="nil"/>
              <w:bottom w:val="single" w:sz="4" w:space="0" w:color="auto"/>
              <w:right w:val="single" w:sz="4" w:space="0" w:color="auto"/>
            </w:tcBorders>
            <w:shd w:val="clear" w:color="000000" w:fill="D7E4BC"/>
            <w:noWrap/>
            <w:vAlign w:val="center"/>
            <w:hideMark/>
          </w:tcPr>
          <w:p w:rsidR="004550CA" w:rsidRPr="004550CA" w:rsidRDefault="004550CA" w:rsidP="004550CA">
            <w:pPr>
              <w:widowControl/>
              <w:jc w:val="center"/>
              <w:rPr>
                <w:rFonts w:ascii="宋体" w:eastAsia="宋体" w:hAnsi="宋体" w:cs="宋体"/>
                <w:b/>
                <w:color w:val="000000"/>
                <w:kern w:val="0"/>
                <w:szCs w:val="21"/>
              </w:rPr>
            </w:pPr>
            <w:r w:rsidRPr="004550CA">
              <w:rPr>
                <w:rFonts w:ascii="宋体" w:eastAsia="宋体" w:hAnsi="宋体" w:cs="宋体" w:hint="eastAsia"/>
                <w:b/>
                <w:color w:val="000000"/>
                <w:kern w:val="0"/>
                <w:szCs w:val="21"/>
              </w:rPr>
              <w:t>楼面均价</w:t>
            </w:r>
          </w:p>
        </w:tc>
        <w:tc>
          <w:tcPr>
            <w:tcW w:w="402" w:type="pct"/>
            <w:tcBorders>
              <w:top w:val="single" w:sz="4" w:space="0" w:color="auto"/>
              <w:left w:val="nil"/>
              <w:bottom w:val="single" w:sz="4" w:space="0" w:color="auto"/>
              <w:right w:val="single" w:sz="4" w:space="0" w:color="auto"/>
            </w:tcBorders>
            <w:shd w:val="clear" w:color="000000" w:fill="D7E4BC"/>
            <w:noWrap/>
            <w:vAlign w:val="center"/>
            <w:hideMark/>
          </w:tcPr>
          <w:p w:rsidR="004550CA" w:rsidRPr="004550CA" w:rsidRDefault="004550CA" w:rsidP="004550CA">
            <w:pPr>
              <w:widowControl/>
              <w:jc w:val="center"/>
              <w:rPr>
                <w:rFonts w:ascii="宋体" w:eastAsia="宋体" w:hAnsi="宋体" w:cs="宋体"/>
                <w:b/>
                <w:color w:val="000000"/>
                <w:kern w:val="0"/>
                <w:szCs w:val="21"/>
              </w:rPr>
            </w:pPr>
            <w:r w:rsidRPr="004550CA">
              <w:rPr>
                <w:rFonts w:ascii="宋体" w:eastAsia="宋体" w:hAnsi="宋体" w:cs="宋体" w:hint="eastAsia"/>
                <w:b/>
                <w:color w:val="000000"/>
                <w:kern w:val="0"/>
                <w:szCs w:val="21"/>
              </w:rPr>
              <w:t>溢价地块</w:t>
            </w:r>
          </w:p>
        </w:tc>
        <w:tc>
          <w:tcPr>
            <w:tcW w:w="567" w:type="pct"/>
            <w:tcBorders>
              <w:top w:val="single" w:sz="4" w:space="0" w:color="auto"/>
              <w:left w:val="nil"/>
              <w:bottom w:val="single" w:sz="4" w:space="0" w:color="auto"/>
              <w:right w:val="single" w:sz="4" w:space="0" w:color="auto"/>
            </w:tcBorders>
            <w:shd w:val="clear" w:color="000000" w:fill="D7E4BC"/>
            <w:vAlign w:val="center"/>
            <w:hideMark/>
          </w:tcPr>
          <w:p w:rsidR="004550CA" w:rsidRPr="004550CA" w:rsidRDefault="004550CA" w:rsidP="004550CA">
            <w:pPr>
              <w:widowControl/>
              <w:jc w:val="center"/>
              <w:rPr>
                <w:rFonts w:ascii="宋体" w:eastAsia="宋体" w:hAnsi="宋体" w:cs="宋体"/>
                <w:b/>
                <w:color w:val="000000"/>
                <w:kern w:val="0"/>
                <w:szCs w:val="21"/>
              </w:rPr>
            </w:pPr>
            <w:r w:rsidRPr="004550CA">
              <w:rPr>
                <w:rFonts w:ascii="宋体" w:eastAsia="宋体" w:hAnsi="宋体" w:cs="宋体" w:hint="eastAsia"/>
                <w:b/>
                <w:color w:val="000000"/>
                <w:kern w:val="0"/>
                <w:szCs w:val="21"/>
              </w:rPr>
              <w:t>溢价率</w:t>
            </w:r>
          </w:p>
        </w:tc>
      </w:tr>
      <w:tr w:rsidR="008F48C6" w:rsidRPr="004550CA" w:rsidTr="00A8388F">
        <w:trPr>
          <w:trHeight w:val="270"/>
        </w:trPr>
        <w:tc>
          <w:tcPr>
            <w:tcW w:w="548" w:type="pct"/>
            <w:tcBorders>
              <w:top w:val="nil"/>
              <w:left w:val="single" w:sz="4" w:space="0" w:color="auto"/>
              <w:bottom w:val="single" w:sz="4" w:space="0" w:color="auto"/>
              <w:right w:val="single" w:sz="4" w:space="0" w:color="auto"/>
            </w:tcBorders>
            <w:shd w:val="clear" w:color="auto" w:fill="auto"/>
            <w:noWrap/>
            <w:vAlign w:val="center"/>
            <w:hideMark/>
          </w:tcPr>
          <w:p w:rsidR="008F48C6" w:rsidRPr="00A8388F" w:rsidRDefault="008F48C6" w:rsidP="004550CA">
            <w:pPr>
              <w:widowControl/>
              <w:jc w:val="center"/>
              <w:rPr>
                <w:rFonts w:ascii="宋体" w:eastAsia="宋体" w:hAnsi="宋体" w:cs="宋体"/>
                <w:b/>
                <w:color w:val="000000"/>
                <w:kern w:val="0"/>
                <w:szCs w:val="21"/>
              </w:rPr>
            </w:pPr>
            <w:r w:rsidRPr="00A8388F">
              <w:rPr>
                <w:rFonts w:ascii="宋体" w:eastAsia="宋体" w:hAnsi="宋体" w:cs="宋体" w:hint="eastAsia"/>
                <w:b/>
                <w:color w:val="000000"/>
                <w:kern w:val="0"/>
                <w:szCs w:val="21"/>
              </w:rPr>
              <w:t>纯住宅</w:t>
            </w:r>
          </w:p>
        </w:tc>
        <w:tc>
          <w:tcPr>
            <w:tcW w:w="324" w:type="pct"/>
            <w:tcBorders>
              <w:top w:val="nil"/>
              <w:left w:val="nil"/>
              <w:bottom w:val="single" w:sz="4" w:space="0" w:color="auto"/>
              <w:right w:val="single" w:sz="4" w:space="0" w:color="auto"/>
            </w:tcBorders>
            <w:shd w:val="clear" w:color="auto" w:fill="auto"/>
            <w:noWrap/>
            <w:vAlign w:val="center"/>
            <w:hideMark/>
          </w:tcPr>
          <w:p w:rsidR="008F48C6" w:rsidRDefault="008F48C6">
            <w:pPr>
              <w:jc w:val="center"/>
              <w:rPr>
                <w:rFonts w:ascii="宋体" w:eastAsia="宋体" w:hAnsi="宋体" w:cs="宋体"/>
                <w:color w:val="000000"/>
                <w:sz w:val="22"/>
              </w:rPr>
            </w:pPr>
            <w:r>
              <w:rPr>
                <w:rFonts w:hint="eastAsia"/>
                <w:color w:val="000000"/>
                <w:sz w:val="22"/>
              </w:rPr>
              <w:t>10</w:t>
            </w:r>
          </w:p>
        </w:tc>
        <w:tc>
          <w:tcPr>
            <w:tcW w:w="518" w:type="pct"/>
            <w:tcBorders>
              <w:top w:val="nil"/>
              <w:left w:val="nil"/>
              <w:bottom w:val="single" w:sz="4" w:space="0" w:color="auto"/>
              <w:right w:val="single" w:sz="4" w:space="0" w:color="auto"/>
            </w:tcBorders>
            <w:shd w:val="clear" w:color="auto" w:fill="auto"/>
            <w:noWrap/>
            <w:vAlign w:val="center"/>
            <w:hideMark/>
          </w:tcPr>
          <w:p w:rsidR="008F48C6" w:rsidRDefault="008F48C6">
            <w:pPr>
              <w:jc w:val="center"/>
              <w:rPr>
                <w:rFonts w:ascii="宋体" w:eastAsia="宋体" w:hAnsi="宋体" w:cs="宋体"/>
                <w:color w:val="000000"/>
                <w:sz w:val="22"/>
              </w:rPr>
            </w:pPr>
            <w:r>
              <w:rPr>
                <w:rFonts w:hint="eastAsia"/>
                <w:color w:val="000000"/>
                <w:sz w:val="22"/>
              </w:rPr>
              <w:t>209.23</w:t>
            </w:r>
          </w:p>
        </w:tc>
        <w:tc>
          <w:tcPr>
            <w:tcW w:w="535" w:type="pct"/>
            <w:tcBorders>
              <w:top w:val="nil"/>
              <w:left w:val="nil"/>
              <w:bottom w:val="single" w:sz="4" w:space="0" w:color="auto"/>
              <w:right w:val="single" w:sz="4" w:space="0" w:color="auto"/>
            </w:tcBorders>
            <w:shd w:val="clear" w:color="auto" w:fill="auto"/>
            <w:noWrap/>
            <w:vAlign w:val="center"/>
            <w:hideMark/>
          </w:tcPr>
          <w:p w:rsidR="008F48C6" w:rsidRDefault="008F48C6">
            <w:pPr>
              <w:jc w:val="center"/>
              <w:rPr>
                <w:rFonts w:ascii="宋体" w:eastAsia="宋体" w:hAnsi="宋体" w:cs="宋体"/>
                <w:color w:val="000000"/>
                <w:sz w:val="22"/>
              </w:rPr>
            </w:pPr>
            <w:r>
              <w:rPr>
                <w:rFonts w:hint="eastAsia"/>
                <w:color w:val="000000"/>
                <w:sz w:val="22"/>
              </w:rPr>
              <w:t>84.24</w:t>
            </w:r>
          </w:p>
        </w:tc>
        <w:tc>
          <w:tcPr>
            <w:tcW w:w="567" w:type="pct"/>
            <w:tcBorders>
              <w:top w:val="nil"/>
              <w:left w:val="nil"/>
              <w:bottom w:val="single" w:sz="4" w:space="0" w:color="auto"/>
              <w:right w:val="single" w:sz="4" w:space="0" w:color="auto"/>
            </w:tcBorders>
            <w:shd w:val="clear" w:color="auto" w:fill="auto"/>
            <w:noWrap/>
            <w:vAlign w:val="bottom"/>
            <w:hideMark/>
          </w:tcPr>
          <w:p w:rsidR="008F48C6" w:rsidRDefault="008F48C6">
            <w:pPr>
              <w:jc w:val="center"/>
              <w:rPr>
                <w:rFonts w:ascii="宋体" w:eastAsia="宋体" w:hAnsi="宋体" w:cs="宋体"/>
                <w:color w:val="000000"/>
                <w:sz w:val="22"/>
              </w:rPr>
            </w:pPr>
            <w:r>
              <w:rPr>
                <w:rFonts w:hint="eastAsia"/>
                <w:color w:val="000000"/>
                <w:sz w:val="22"/>
              </w:rPr>
              <w:t xml:space="preserve">8.42 </w:t>
            </w:r>
          </w:p>
        </w:tc>
        <w:tc>
          <w:tcPr>
            <w:tcW w:w="567" w:type="pct"/>
            <w:tcBorders>
              <w:top w:val="nil"/>
              <w:left w:val="nil"/>
              <w:bottom w:val="single" w:sz="4" w:space="0" w:color="auto"/>
              <w:right w:val="single" w:sz="4" w:space="0" w:color="auto"/>
            </w:tcBorders>
            <w:shd w:val="clear" w:color="auto" w:fill="auto"/>
            <w:noWrap/>
            <w:vAlign w:val="center"/>
            <w:hideMark/>
          </w:tcPr>
          <w:p w:rsidR="008F48C6" w:rsidRDefault="008F48C6">
            <w:pPr>
              <w:jc w:val="center"/>
              <w:rPr>
                <w:rFonts w:ascii="宋体" w:eastAsia="宋体" w:hAnsi="宋体" w:cs="宋体"/>
                <w:color w:val="000000"/>
                <w:sz w:val="22"/>
              </w:rPr>
            </w:pPr>
            <w:r>
              <w:rPr>
                <w:rFonts w:hint="eastAsia"/>
                <w:color w:val="000000"/>
                <w:sz w:val="22"/>
              </w:rPr>
              <w:t>163.68</w:t>
            </w:r>
          </w:p>
        </w:tc>
        <w:tc>
          <w:tcPr>
            <w:tcW w:w="487" w:type="pct"/>
            <w:tcBorders>
              <w:top w:val="nil"/>
              <w:left w:val="nil"/>
              <w:bottom w:val="single" w:sz="4" w:space="0" w:color="auto"/>
              <w:right w:val="single" w:sz="4" w:space="0" w:color="auto"/>
            </w:tcBorders>
            <w:shd w:val="clear" w:color="auto" w:fill="auto"/>
            <w:noWrap/>
            <w:vAlign w:val="center"/>
            <w:hideMark/>
          </w:tcPr>
          <w:p w:rsidR="008F48C6" w:rsidRDefault="008F48C6">
            <w:pPr>
              <w:jc w:val="center"/>
              <w:rPr>
                <w:rFonts w:ascii="宋体" w:eastAsia="宋体" w:hAnsi="宋体" w:cs="宋体"/>
                <w:color w:val="000000"/>
                <w:sz w:val="22"/>
              </w:rPr>
            </w:pPr>
            <w:r>
              <w:rPr>
                <w:rFonts w:hint="eastAsia"/>
                <w:color w:val="000000"/>
                <w:sz w:val="22"/>
              </w:rPr>
              <w:t xml:space="preserve">1.94 </w:t>
            </w:r>
          </w:p>
        </w:tc>
        <w:tc>
          <w:tcPr>
            <w:tcW w:w="485" w:type="pct"/>
            <w:tcBorders>
              <w:top w:val="nil"/>
              <w:left w:val="nil"/>
              <w:bottom w:val="single" w:sz="4" w:space="0" w:color="auto"/>
              <w:right w:val="single" w:sz="4" w:space="0" w:color="auto"/>
            </w:tcBorders>
            <w:shd w:val="clear" w:color="auto" w:fill="auto"/>
            <w:noWrap/>
            <w:vAlign w:val="bottom"/>
            <w:hideMark/>
          </w:tcPr>
          <w:p w:rsidR="008F48C6" w:rsidRDefault="008F48C6">
            <w:pPr>
              <w:jc w:val="center"/>
              <w:rPr>
                <w:rFonts w:ascii="宋体" w:eastAsia="宋体" w:hAnsi="宋体" w:cs="宋体"/>
                <w:color w:val="000000"/>
                <w:sz w:val="22"/>
              </w:rPr>
            </w:pPr>
            <w:r>
              <w:rPr>
                <w:rFonts w:hint="eastAsia"/>
                <w:color w:val="000000"/>
                <w:sz w:val="22"/>
              </w:rPr>
              <w:t>12782</w:t>
            </w:r>
          </w:p>
        </w:tc>
        <w:tc>
          <w:tcPr>
            <w:tcW w:w="402" w:type="pct"/>
            <w:tcBorders>
              <w:top w:val="nil"/>
              <w:left w:val="nil"/>
              <w:bottom w:val="single" w:sz="4" w:space="0" w:color="auto"/>
              <w:right w:val="single" w:sz="4" w:space="0" w:color="auto"/>
            </w:tcBorders>
            <w:shd w:val="clear" w:color="auto" w:fill="auto"/>
            <w:noWrap/>
            <w:vAlign w:val="bottom"/>
            <w:hideMark/>
          </w:tcPr>
          <w:p w:rsidR="008F48C6" w:rsidRDefault="008F48C6">
            <w:pPr>
              <w:jc w:val="center"/>
              <w:rPr>
                <w:rFonts w:ascii="宋体" w:eastAsia="宋体" w:hAnsi="宋体" w:cs="宋体"/>
                <w:color w:val="000000"/>
                <w:sz w:val="22"/>
              </w:rPr>
            </w:pPr>
            <w:r>
              <w:rPr>
                <w:rFonts w:hint="eastAsia"/>
                <w:color w:val="000000"/>
                <w:sz w:val="22"/>
              </w:rPr>
              <w:t>10</w:t>
            </w:r>
          </w:p>
        </w:tc>
        <w:tc>
          <w:tcPr>
            <w:tcW w:w="567" w:type="pct"/>
            <w:tcBorders>
              <w:top w:val="nil"/>
              <w:left w:val="nil"/>
              <w:bottom w:val="single" w:sz="4" w:space="0" w:color="auto"/>
              <w:right w:val="single" w:sz="4" w:space="0" w:color="auto"/>
            </w:tcBorders>
            <w:shd w:val="clear" w:color="auto" w:fill="auto"/>
            <w:noWrap/>
            <w:vAlign w:val="bottom"/>
            <w:hideMark/>
          </w:tcPr>
          <w:p w:rsidR="008F48C6" w:rsidRDefault="008F48C6">
            <w:pPr>
              <w:jc w:val="center"/>
              <w:rPr>
                <w:rFonts w:ascii="宋体" w:eastAsia="宋体" w:hAnsi="宋体" w:cs="宋体"/>
                <w:color w:val="000000"/>
                <w:sz w:val="22"/>
              </w:rPr>
            </w:pPr>
            <w:r>
              <w:rPr>
                <w:rFonts w:hint="eastAsia"/>
                <w:color w:val="000000"/>
                <w:sz w:val="22"/>
              </w:rPr>
              <w:t>90.11%</w:t>
            </w:r>
          </w:p>
        </w:tc>
      </w:tr>
      <w:tr w:rsidR="008F48C6" w:rsidRPr="004550CA" w:rsidTr="00A8388F">
        <w:trPr>
          <w:trHeight w:val="270"/>
        </w:trPr>
        <w:tc>
          <w:tcPr>
            <w:tcW w:w="548" w:type="pct"/>
            <w:tcBorders>
              <w:top w:val="nil"/>
              <w:left w:val="single" w:sz="4" w:space="0" w:color="auto"/>
              <w:bottom w:val="single" w:sz="4" w:space="0" w:color="auto"/>
              <w:right w:val="single" w:sz="4" w:space="0" w:color="auto"/>
            </w:tcBorders>
            <w:shd w:val="clear" w:color="000000" w:fill="EAF1DD"/>
            <w:noWrap/>
            <w:vAlign w:val="center"/>
            <w:hideMark/>
          </w:tcPr>
          <w:p w:rsidR="008F48C6" w:rsidRPr="00A8388F" w:rsidRDefault="008F48C6" w:rsidP="004550CA">
            <w:pPr>
              <w:widowControl/>
              <w:jc w:val="center"/>
              <w:rPr>
                <w:rFonts w:ascii="宋体" w:eastAsia="宋体" w:hAnsi="宋体" w:cs="宋体"/>
                <w:b/>
                <w:color w:val="000000"/>
                <w:kern w:val="0"/>
                <w:szCs w:val="21"/>
              </w:rPr>
            </w:pPr>
            <w:r w:rsidRPr="00A8388F">
              <w:rPr>
                <w:rFonts w:ascii="宋体" w:eastAsia="宋体" w:hAnsi="宋体" w:cs="宋体" w:hint="eastAsia"/>
                <w:b/>
                <w:color w:val="000000"/>
                <w:kern w:val="0"/>
                <w:szCs w:val="21"/>
              </w:rPr>
              <w:t>商住</w:t>
            </w:r>
          </w:p>
        </w:tc>
        <w:tc>
          <w:tcPr>
            <w:tcW w:w="324" w:type="pct"/>
            <w:tcBorders>
              <w:top w:val="nil"/>
              <w:left w:val="nil"/>
              <w:bottom w:val="single" w:sz="4" w:space="0" w:color="auto"/>
              <w:right w:val="single" w:sz="4" w:space="0" w:color="auto"/>
            </w:tcBorders>
            <w:shd w:val="clear" w:color="000000" w:fill="EAF1DD"/>
            <w:noWrap/>
            <w:vAlign w:val="center"/>
            <w:hideMark/>
          </w:tcPr>
          <w:p w:rsidR="008F48C6" w:rsidRDefault="008F48C6">
            <w:pPr>
              <w:jc w:val="center"/>
              <w:rPr>
                <w:rFonts w:ascii="宋体" w:eastAsia="宋体" w:hAnsi="宋体" w:cs="宋体"/>
                <w:color w:val="000000"/>
                <w:sz w:val="22"/>
              </w:rPr>
            </w:pPr>
            <w:r>
              <w:rPr>
                <w:rFonts w:hint="eastAsia"/>
                <w:color w:val="000000"/>
                <w:sz w:val="22"/>
              </w:rPr>
              <w:t>3</w:t>
            </w:r>
          </w:p>
        </w:tc>
        <w:tc>
          <w:tcPr>
            <w:tcW w:w="518" w:type="pct"/>
            <w:tcBorders>
              <w:top w:val="nil"/>
              <w:left w:val="nil"/>
              <w:bottom w:val="single" w:sz="4" w:space="0" w:color="auto"/>
              <w:right w:val="single" w:sz="4" w:space="0" w:color="auto"/>
            </w:tcBorders>
            <w:shd w:val="clear" w:color="000000" w:fill="EAF1DD"/>
            <w:noWrap/>
            <w:vAlign w:val="center"/>
            <w:hideMark/>
          </w:tcPr>
          <w:p w:rsidR="008F48C6" w:rsidRDefault="008F48C6">
            <w:pPr>
              <w:jc w:val="center"/>
              <w:rPr>
                <w:rFonts w:ascii="宋体" w:eastAsia="宋体" w:hAnsi="宋体" w:cs="宋体"/>
                <w:color w:val="000000"/>
                <w:sz w:val="22"/>
              </w:rPr>
            </w:pPr>
            <w:r>
              <w:rPr>
                <w:rFonts w:hint="eastAsia"/>
                <w:color w:val="000000"/>
                <w:sz w:val="22"/>
              </w:rPr>
              <w:t>10.87</w:t>
            </w:r>
          </w:p>
        </w:tc>
        <w:tc>
          <w:tcPr>
            <w:tcW w:w="535" w:type="pct"/>
            <w:tcBorders>
              <w:top w:val="nil"/>
              <w:left w:val="nil"/>
              <w:bottom w:val="single" w:sz="4" w:space="0" w:color="auto"/>
              <w:right w:val="single" w:sz="4" w:space="0" w:color="auto"/>
            </w:tcBorders>
            <w:shd w:val="clear" w:color="000000" w:fill="EAF1DD"/>
            <w:noWrap/>
            <w:vAlign w:val="center"/>
            <w:hideMark/>
          </w:tcPr>
          <w:p w:rsidR="008F48C6" w:rsidRDefault="008F48C6">
            <w:pPr>
              <w:jc w:val="center"/>
              <w:rPr>
                <w:rFonts w:ascii="宋体" w:eastAsia="宋体" w:hAnsi="宋体" w:cs="宋体"/>
                <w:color w:val="000000"/>
                <w:sz w:val="22"/>
              </w:rPr>
            </w:pPr>
            <w:r>
              <w:rPr>
                <w:rFonts w:hint="eastAsia"/>
                <w:color w:val="000000"/>
                <w:sz w:val="22"/>
              </w:rPr>
              <w:t>16.03</w:t>
            </w:r>
          </w:p>
        </w:tc>
        <w:tc>
          <w:tcPr>
            <w:tcW w:w="567" w:type="pct"/>
            <w:tcBorders>
              <w:top w:val="nil"/>
              <w:left w:val="nil"/>
              <w:bottom w:val="single" w:sz="4" w:space="0" w:color="auto"/>
              <w:right w:val="single" w:sz="4" w:space="0" w:color="auto"/>
            </w:tcBorders>
            <w:shd w:val="clear" w:color="000000" w:fill="EAF1DD"/>
            <w:noWrap/>
            <w:vAlign w:val="bottom"/>
            <w:hideMark/>
          </w:tcPr>
          <w:p w:rsidR="008F48C6" w:rsidRDefault="008F48C6">
            <w:pPr>
              <w:jc w:val="center"/>
              <w:rPr>
                <w:rFonts w:ascii="宋体" w:eastAsia="宋体" w:hAnsi="宋体" w:cs="宋体"/>
                <w:color w:val="000000"/>
                <w:sz w:val="22"/>
              </w:rPr>
            </w:pPr>
            <w:r>
              <w:rPr>
                <w:rFonts w:hint="eastAsia"/>
                <w:color w:val="000000"/>
                <w:sz w:val="22"/>
              </w:rPr>
              <w:t xml:space="preserve">5.34 </w:t>
            </w:r>
          </w:p>
        </w:tc>
        <w:tc>
          <w:tcPr>
            <w:tcW w:w="567" w:type="pct"/>
            <w:tcBorders>
              <w:top w:val="nil"/>
              <w:left w:val="nil"/>
              <w:bottom w:val="single" w:sz="4" w:space="0" w:color="auto"/>
              <w:right w:val="single" w:sz="4" w:space="0" w:color="auto"/>
            </w:tcBorders>
            <w:shd w:val="clear" w:color="000000" w:fill="EAF1DD"/>
            <w:noWrap/>
            <w:vAlign w:val="center"/>
            <w:hideMark/>
          </w:tcPr>
          <w:p w:rsidR="008F48C6" w:rsidRDefault="008F48C6">
            <w:pPr>
              <w:jc w:val="center"/>
              <w:rPr>
                <w:rFonts w:ascii="宋体" w:eastAsia="宋体" w:hAnsi="宋体" w:cs="宋体"/>
                <w:color w:val="000000"/>
                <w:sz w:val="22"/>
              </w:rPr>
            </w:pPr>
            <w:r>
              <w:rPr>
                <w:rFonts w:hint="eastAsia"/>
                <w:color w:val="000000"/>
                <w:sz w:val="22"/>
              </w:rPr>
              <w:t>32.38</w:t>
            </w:r>
          </w:p>
        </w:tc>
        <w:tc>
          <w:tcPr>
            <w:tcW w:w="487" w:type="pct"/>
            <w:tcBorders>
              <w:top w:val="nil"/>
              <w:left w:val="nil"/>
              <w:bottom w:val="single" w:sz="4" w:space="0" w:color="auto"/>
              <w:right w:val="single" w:sz="4" w:space="0" w:color="auto"/>
            </w:tcBorders>
            <w:shd w:val="clear" w:color="000000" w:fill="EAF1DD"/>
            <w:noWrap/>
            <w:vAlign w:val="center"/>
            <w:hideMark/>
          </w:tcPr>
          <w:p w:rsidR="008F48C6" w:rsidRDefault="008F48C6">
            <w:pPr>
              <w:jc w:val="center"/>
              <w:rPr>
                <w:rFonts w:ascii="宋体" w:eastAsia="宋体" w:hAnsi="宋体" w:cs="宋体"/>
                <w:color w:val="000000"/>
                <w:sz w:val="22"/>
              </w:rPr>
            </w:pPr>
            <w:r>
              <w:rPr>
                <w:rFonts w:hint="eastAsia"/>
                <w:color w:val="000000"/>
                <w:sz w:val="22"/>
              </w:rPr>
              <w:t xml:space="preserve">2.02 </w:t>
            </w:r>
          </w:p>
        </w:tc>
        <w:tc>
          <w:tcPr>
            <w:tcW w:w="485" w:type="pct"/>
            <w:tcBorders>
              <w:top w:val="nil"/>
              <w:left w:val="nil"/>
              <w:bottom w:val="single" w:sz="4" w:space="0" w:color="auto"/>
              <w:right w:val="single" w:sz="4" w:space="0" w:color="auto"/>
            </w:tcBorders>
            <w:shd w:val="clear" w:color="000000" w:fill="EAF1DD"/>
            <w:noWrap/>
            <w:vAlign w:val="bottom"/>
            <w:hideMark/>
          </w:tcPr>
          <w:p w:rsidR="008F48C6" w:rsidRDefault="008F48C6" w:rsidP="008F48C6">
            <w:pPr>
              <w:jc w:val="center"/>
              <w:rPr>
                <w:rFonts w:ascii="宋体" w:eastAsia="宋体" w:hAnsi="宋体" w:cs="宋体"/>
                <w:color w:val="000000"/>
                <w:sz w:val="22"/>
              </w:rPr>
            </w:pPr>
            <w:r>
              <w:rPr>
                <w:rFonts w:hint="eastAsia"/>
                <w:color w:val="000000"/>
                <w:sz w:val="22"/>
              </w:rPr>
              <w:t>3357</w:t>
            </w:r>
          </w:p>
        </w:tc>
        <w:tc>
          <w:tcPr>
            <w:tcW w:w="402" w:type="pct"/>
            <w:tcBorders>
              <w:top w:val="nil"/>
              <w:left w:val="nil"/>
              <w:bottom w:val="single" w:sz="4" w:space="0" w:color="auto"/>
              <w:right w:val="single" w:sz="4" w:space="0" w:color="auto"/>
            </w:tcBorders>
            <w:shd w:val="clear" w:color="000000" w:fill="EAF1DD"/>
            <w:noWrap/>
            <w:vAlign w:val="bottom"/>
            <w:hideMark/>
          </w:tcPr>
          <w:p w:rsidR="008F48C6" w:rsidRDefault="008F48C6">
            <w:pPr>
              <w:jc w:val="center"/>
              <w:rPr>
                <w:rFonts w:ascii="宋体" w:eastAsia="宋体" w:hAnsi="宋体" w:cs="宋体"/>
                <w:color w:val="000000"/>
                <w:sz w:val="22"/>
              </w:rPr>
            </w:pPr>
            <w:r>
              <w:rPr>
                <w:rFonts w:hint="eastAsia"/>
                <w:color w:val="000000"/>
                <w:sz w:val="22"/>
              </w:rPr>
              <w:t>1</w:t>
            </w:r>
          </w:p>
        </w:tc>
        <w:tc>
          <w:tcPr>
            <w:tcW w:w="567" w:type="pct"/>
            <w:tcBorders>
              <w:top w:val="nil"/>
              <w:left w:val="nil"/>
              <w:bottom w:val="single" w:sz="4" w:space="0" w:color="auto"/>
              <w:right w:val="single" w:sz="4" w:space="0" w:color="auto"/>
            </w:tcBorders>
            <w:shd w:val="clear" w:color="000000" w:fill="EAF1DD"/>
            <w:noWrap/>
            <w:vAlign w:val="bottom"/>
            <w:hideMark/>
          </w:tcPr>
          <w:p w:rsidR="008F48C6" w:rsidRDefault="008F48C6">
            <w:pPr>
              <w:jc w:val="center"/>
              <w:rPr>
                <w:rFonts w:ascii="宋体" w:eastAsia="宋体" w:hAnsi="宋体" w:cs="宋体"/>
                <w:color w:val="000000"/>
                <w:sz w:val="22"/>
              </w:rPr>
            </w:pPr>
            <w:r>
              <w:rPr>
                <w:rFonts w:hint="eastAsia"/>
                <w:color w:val="000000"/>
                <w:sz w:val="22"/>
              </w:rPr>
              <w:t>21.24%</w:t>
            </w:r>
          </w:p>
        </w:tc>
      </w:tr>
      <w:tr w:rsidR="008F48C6" w:rsidRPr="004550CA" w:rsidTr="00A8388F">
        <w:trPr>
          <w:trHeight w:val="270"/>
        </w:trPr>
        <w:tc>
          <w:tcPr>
            <w:tcW w:w="548" w:type="pct"/>
            <w:tcBorders>
              <w:top w:val="nil"/>
              <w:left w:val="single" w:sz="4" w:space="0" w:color="auto"/>
              <w:bottom w:val="single" w:sz="4" w:space="0" w:color="auto"/>
              <w:right w:val="single" w:sz="4" w:space="0" w:color="auto"/>
            </w:tcBorders>
            <w:shd w:val="clear" w:color="auto" w:fill="auto"/>
            <w:noWrap/>
            <w:vAlign w:val="center"/>
            <w:hideMark/>
          </w:tcPr>
          <w:p w:rsidR="008F48C6" w:rsidRPr="00A8388F" w:rsidRDefault="008F48C6" w:rsidP="004550CA">
            <w:pPr>
              <w:widowControl/>
              <w:jc w:val="center"/>
              <w:rPr>
                <w:rFonts w:ascii="宋体" w:eastAsia="宋体" w:hAnsi="宋体" w:cs="宋体"/>
                <w:b/>
                <w:color w:val="000000"/>
                <w:kern w:val="0"/>
                <w:szCs w:val="21"/>
              </w:rPr>
            </w:pPr>
            <w:r w:rsidRPr="00A8388F">
              <w:rPr>
                <w:rFonts w:ascii="宋体" w:eastAsia="宋体" w:hAnsi="宋体" w:cs="宋体" w:hint="eastAsia"/>
                <w:b/>
                <w:color w:val="000000"/>
                <w:kern w:val="0"/>
                <w:szCs w:val="21"/>
              </w:rPr>
              <w:t>商服</w:t>
            </w:r>
          </w:p>
        </w:tc>
        <w:tc>
          <w:tcPr>
            <w:tcW w:w="324" w:type="pct"/>
            <w:tcBorders>
              <w:top w:val="nil"/>
              <w:left w:val="nil"/>
              <w:bottom w:val="single" w:sz="4" w:space="0" w:color="auto"/>
              <w:right w:val="single" w:sz="4" w:space="0" w:color="auto"/>
            </w:tcBorders>
            <w:shd w:val="clear" w:color="auto" w:fill="auto"/>
            <w:noWrap/>
            <w:vAlign w:val="center"/>
            <w:hideMark/>
          </w:tcPr>
          <w:p w:rsidR="008F48C6" w:rsidRDefault="008F48C6">
            <w:pPr>
              <w:jc w:val="center"/>
              <w:rPr>
                <w:rFonts w:ascii="宋体" w:eastAsia="宋体" w:hAnsi="宋体" w:cs="宋体"/>
                <w:color w:val="000000"/>
                <w:sz w:val="22"/>
              </w:rPr>
            </w:pPr>
            <w:r>
              <w:rPr>
                <w:rFonts w:hint="eastAsia"/>
                <w:color w:val="000000"/>
                <w:sz w:val="22"/>
              </w:rPr>
              <w:t>14</w:t>
            </w:r>
          </w:p>
        </w:tc>
        <w:tc>
          <w:tcPr>
            <w:tcW w:w="518" w:type="pct"/>
            <w:tcBorders>
              <w:top w:val="nil"/>
              <w:left w:val="nil"/>
              <w:bottom w:val="single" w:sz="4" w:space="0" w:color="auto"/>
              <w:right w:val="single" w:sz="4" w:space="0" w:color="auto"/>
            </w:tcBorders>
            <w:shd w:val="clear" w:color="auto" w:fill="auto"/>
            <w:noWrap/>
            <w:vAlign w:val="center"/>
            <w:hideMark/>
          </w:tcPr>
          <w:p w:rsidR="008F48C6" w:rsidRDefault="008F48C6">
            <w:pPr>
              <w:jc w:val="center"/>
              <w:rPr>
                <w:rFonts w:ascii="宋体" w:eastAsia="宋体" w:hAnsi="宋体" w:cs="宋体"/>
                <w:color w:val="000000"/>
                <w:sz w:val="22"/>
              </w:rPr>
            </w:pPr>
            <w:r>
              <w:rPr>
                <w:rFonts w:hint="eastAsia"/>
                <w:color w:val="000000"/>
                <w:sz w:val="22"/>
              </w:rPr>
              <w:t>51.55</w:t>
            </w:r>
          </w:p>
        </w:tc>
        <w:tc>
          <w:tcPr>
            <w:tcW w:w="535" w:type="pct"/>
            <w:tcBorders>
              <w:top w:val="nil"/>
              <w:left w:val="nil"/>
              <w:bottom w:val="single" w:sz="4" w:space="0" w:color="auto"/>
              <w:right w:val="single" w:sz="4" w:space="0" w:color="auto"/>
            </w:tcBorders>
            <w:shd w:val="clear" w:color="auto" w:fill="auto"/>
            <w:noWrap/>
            <w:vAlign w:val="center"/>
            <w:hideMark/>
          </w:tcPr>
          <w:p w:rsidR="008F48C6" w:rsidRDefault="008F48C6">
            <w:pPr>
              <w:jc w:val="center"/>
              <w:rPr>
                <w:rFonts w:ascii="宋体" w:eastAsia="宋体" w:hAnsi="宋体" w:cs="宋体"/>
                <w:color w:val="000000"/>
                <w:sz w:val="22"/>
              </w:rPr>
            </w:pPr>
            <w:r>
              <w:rPr>
                <w:rFonts w:hint="eastAsia"/>
                <w:color w:val="000000"/>
                <w:sz w:val="22"/>
              </w:rPr>
              <w:t>41.21</w:t>
            </w:r>
          </w:p>
        </w:tc>
        <w:tc>
          <w:tcPr>
            <w:tcW w:w="567" w:type="pct"/>
            <w:tcBorders>
              <w:top w:val="nil"/>
              <w:left w:val="nil"/>
              <w:bottom w:val="single" w:sz="4" w:space="0" w:color="auto"/>
              <w:right w:val="single" w:sz="4" w:space="0" w:color="auto"/>
            </w:tcBorders>
            <w:shd w:val="clear" w:color="auto" w:fill="auto"/>
            <w:noWrap/>
            <w:vAlign w:val="bottom"/>
            <w:hideMark/>
          </w:tcPr>
          <w:p w:rsidR="008F48C6" w:rsidRDefault="008F48C6">
            <w:pPr>
              <w:jc w:val="center"/>
              <w:rPr>
                <w:rFonts w:ascii="宋体" w:eastAsia="宋体" w:hAnsi="宋体" w:cs="宋体"/>
                <w:color w:val="000000"/>
                <w:sz w:val="22"/>
              </w:rPr>
            </w:pPr>
            <w:r>
              <w:rPr>
                <w:rFonts w:hint="eastAsia"/>
                <w:color w:val="000000"/>
                <w:sz w:val="22"/>
              </w:rPr>
              <w:t xml:space="preserve">2.94 </w:t>
            </w:r>
          </w:p>
        </w:tc>
        <w:tc>
          <w:tcPr>
            <w:tcW w:w="567" w:type="pct"/>
            <w:tcBorders>
              <w:top w:val="nil"/>
              <w:left w:val="nil"/>
              <w:bottom w:val="single" w:sz="4" w:space="0" w:color="auto"/>
              <w:right w:val="single" w:sz="4" w:space="0" w:color="auto"/>
            </w:tcBorders>
            <w:shd w:val="clear" w:color="auto" w:fill="auto"/>
            <w:noWrap/>
            <w:vAlign w:val="center"/>
            <w:hideMark/>
          </w:tcPr>
          <w:p w:rsidR="008F48C6" w:rsidRDefault="008F48C6">
            <w:pPr>
              <w:jc w:val="center"/>
              <w:rPr>
                <w:rFonts w:ascii="宋体" w:eastAsia="宋体" w:hAnsi="宋体" w:cs="宋体"/>
                <w:color w:val="000000"/>
                <w:sz w:val="22"/>
              </w:rPr>
            </w:pPr>
            <w:r>
              <w:rPr>
                <w:rFonts w:hint="eastAsia"/>
                <w:color w:val="000000"/>
                <w:sz w:val="22"/>
              </w:rPr>
              <w:t>61.57</w:t>
            </w:r>
          </w:p>
        </w:tc>
        <w:tc>
          <w:tcPr>
            <w:tcW w:w="487" w:type="pct"/>
            <w:tcBorders>
              <w:top w:val="nil"/>
              <w:left w:val="nil"/>
              <w:bottom w:val="single" w:sz="4" w:space="0" w:color="auto"/>
              <w:right w:val="single" w:sz="4" w:space="0" w:color="auto"/>
            </w:tcBorders>
            <w:shd w:val="clear" w:color="auto" w:fill="auto"/>
            <w:noWrap/>
            <w:vAlign w:val="center"/>
            <w:hideMark/>
          </w:tcPr>
          <w:p w:rsidR="008F48C6" w:rsidRDefault="008F48C6">
            <w:pPr>
              <w:jc w:val="center"/>
              <w:rPr>
                <w:rFonts w:ascii="宋体" w:eastAsia="宋体" w:hAnsi="宋体" w:cs="宋体"/>
                <w:color w:val="000000"/>
                <w:sz w:val="22"/>
              </w:rPr>
            </w:pPr>
            <w:r>
              <w:rPr>
                <w:rFonts w:hint="eastAsia"/>
                <w:color w:val="000000"/>
                <w:sz w:val="22"/>
              </w:rPr>
              <w:t xml:space="preserve">1.49 </w:t>
            </w:r>
          </w:p>
        </w:tc>
        <w:tc>
          <w:tcPr>
            <w:tcW w:w="485" w:type="pct"/>
            <w:tcBorders>
              <w:top w:val="nil"/>
              <w:left w:val="nil"/>
              <w:bottom w:val="single" w:sz="4" w:space="0" w:color="auto"/>
              <w:right w:val="single" w:sz="4" w:space="0" w:color="auto"/>
            </w:tcBorders>
            <w:shd w:val="clear" w:color="auto" w:fill="auto"/>
            <w:noWrap/>
            <w:vAlign w:val="bottom"/>
            <w:hideMark/>
          </w:tcPr>
          <w:p w:rsidR="008F48C6" w:rsidRDefault="008F48C6" w:rsidP="008F48C6">
            <w:pPr>
              <w:jc w:val="center"/>
              <w:rPr>
                <w:rFonts w:ascii="宋体" w:eastAsia="宋体" w:hAnsi="宋体" w:cs="宋体"/>
                <w:color w:val="000000"/>
                <w:sz w:val="22"/>
              </w:rPr>
            </w:pPr>
            <w:r>
              <w:rPr>
                <w:rFonts w:hint="eastAsia"/>
                <w:color w:val="000000"/>
                <w:sz w:val="22"/>
              </w:rPr>
              <w:t>8372</w:t>
            </w:r>
          </w:p>
        </w:tc>
        <w:tc>
          <w:tcPr>
            <w:tcW w:w="402" w:type="pct"/>
            <w:tcBorders>
              <w:top w:val="nil"/>
              <w:left w:val="nil"/>
              <w:bottom w:val="single" w:sz="4" w:space="0" w:color="auto"/>
              <w:right w:val="single" w:sz="4" w:space="0" w:color="auto"/>
            </w:tcBorders>
            <w:shd w:val="clear" w:color="auto" w:fill="auto"/>
            <w:noWrap/>
            <w:vAlign w:val="bottom"/>
            <w:hideMark/>
          </w:tcPr>
          <w:p w:rsidR="008F48C6" w:rsidRDefault="008F48C6">
            <w:pPr>
              <w:jc w:val="center"/>
              <w:rPr>
                <w:rFonts w:ascii="宋体" w:eastAsia="宋体" w:hAnsi="宋体" w:cs="宋体"/>
                <w:color w:val="000000"/>
                <w:sz w:val="22"/>
              </w:rPr>
            </w:pPr>
            <w:r>
              <w:rPr>
                <w:rFonts w:hint="eastAsia"/>
                <w:color w:val="000000"/>
                <w:sz w:val="22"/>
              </w:rPr>
              <w:t>4</w:t>
            </w:r>
          </w:p>
        </w:tc>
        <w:tc>
          <w:tcPr>
            <w:tcW w:w="567" w:type="pct"/>
            <w:tcBorders>
              <w:top w:val="nil"/>
              <w:left w:val="nil"/>
              <w:bottom w:val="single" w:sz="4" w:space="0" w:color="auto"/>
              <w:right w:val="single" w:sz="4" w:space="0" w:color="auto"/>
            </w:tcBorders>
            <w:shd w:val="clear" w:color="auto" w:fill="auto"/>
            <w:noWrap/>
            <w:vAlign w:val="bottom"/>
            <w:hideMark/>
          </w:tcPr>
          <w:p w:rsidR="008F48C6" w:rsidRDefault="008F48C6">
            <w:pPr>
              <w:jc w:val="center"/>
              <w:rPr>
                <w:rFonts w:ascii="宋体" w:eastAsia="宋体" w:hAnsi="宋体" w:cs="宋体"/>
                <w:color w:val="000000"/>
                <w:sz w:val="22"/>
              </w:rPr>
            </w:pPr>
            <w:r>
              <w:rPr>
                <w:rFonts w:hint="eastAsia"/>
                <w:color w:val="000000"/>
                <w:sz w:val="22"/>
              </w:rPr>
              <w:t>202%</w:t>
            </w:r>
          </w:p>
        </w:tc>
      </w:tr>
      <w:tr w:rsidR="008F48C6" w:rsidRPr="004550CA" w:rsidTr="00A8388F">
        <w:trPr>
          <w:trHeight w:val="270"/>
        </w:trPr>
        <w:tc>
          <w:tcPr>
            <w:tcW w:w="548" w:type="pct"/>
            <w:tcBorders>
              <w:top w:val="nil"/>
              <w:left w:val="single" w:sz="4" w:space="0" w:color="auto"/>
              <w:bottom w:val="single" w:sz="4" w:space="0" w:color="auto"/>
              <w:right w:val="single" w:sz="4" w:space="0" w:color="auto"/>
            </w:tcBorders>
            <w:shd w:val="clear" w:color="000000" w:fill="EAF1DD"/>
            <w:noWrap/>
            <w:vAlign w:val="center"/>
            <w:hideMark/>
          </w:tcPr>
          <w:p w:rsidR="008F48C6" w:rsidRPr="00A8388F" w:rsidRDefault="008F48C6" w:rsidP="004550CA">
            <w:pPr>
              <w:widowControl/>
              <w:jc w:val="center"/>
              <w:rPr>
                <w:rFonts w:ascii="宋体" w:eastAsia="宋体" w:hAnsi="宋体" w:cs="宋体"/>
                <w:b/>
                <w:color w:val="000000"/>
                <w:kern w:val="0"/>
                <w:szCs w:val="21"/>
              </w:rPr>
            </w:pPr>
            <w:r w:rsidRPr="00A8388F">
              <w:rPr>
                <w:rFonts w:ascii="宋体" w:eastAsia="宋体" w:hAnsi="宋体" w:cs="宋体" w:hint="eastAsia"/>
                <w:b/>
                <w:color w:val="000000"/>
                <w:kern w:val="0"/>
                <w:szCs w:val="21"/>
              </w:rPr>
              <w:t>总计</w:t>
            </w:r>
          </w:p>
        </w:tc>
        <w:tc>
          <w:tcPr>
            <w:tcW w:w="324" w:type="pct"/>
            <w:tcBorders>
              <w:top w:val="nil"/>
              <w:left w:val="nil"/>
              <w:bottom w:val="single" w:sz="4" w:space="0" w:color="auto"/>
              <w:right w:val="single" w:sz="4" w:space="0" w:color="auto"/>
            </w:tcBorders>
            <w:shd w:val="clear" w:color="000000" w:fill="EAF1DD"/>
            <w:noWrap/>
            <w:vAlign w:val="center"/>
            <w:hideMark/>
          </w:tcPr>
          <w:p w:rsidR="008F48C6" w:rsidRDefault="008F48C6">
            <w:pPr>
              <w:jc w:val="center"/>
              <w:rPr>
                <w:rFonts w:ascii="宋体" w:eastAsia="宋体" w:hAnsi="宋体" w:cs="宋体"/>
                <w:color w:val="000000"/>
                <w:sz w:val="22"/>
              </w:rPr>
            </w:pPr>
            <w:r>
              <w:rPr>
                <w:rFonts w:hint="eastAsia"/>
                <w:color w:val="000000"/>
                <w:sz w:val="22"/>
              </w:rPr>
              <w:t>27</w:t>
            </w:r>
          </w:p>
        </w:tc>
        <w:tc>
          <w:tcPr>
            <w:tcW w:w="518" w:type="pct"/>
            <w:tcBorders>
              <w:top w:val="nil"/>
              <w:left w:val="nil"/>
              <w:bottom w:val="single" w:sz="4" w:space="0" w:color="auto"/>
              <w:right w:val="single" w:sz="4" w:space="0" w:color="auto"/>
            </w:tcBorders>
            <w:shd w:val="clear" w:color="000000" w:fill="EAF1DD"/>
            <w:noWrap/>
            <w:vAlign w:val="center"/>
            <w:hideMark/>
          </w:tcPr>
          <w:p w:rsidR="008F48C6" w:rsidRDefault="008F48C6">
            <w:pPr>
              <w:jc w:val="center"/>
              <w:rPr>
                <w:rFonts w:ascii="宋体" w:eastAsia="宋体" w:hAnsi="宋体" w:cs="宋体"/>
                <w:color w:val="000000"/>
                <w:sz w:val="22"/>
              </w:rPr>
            </w:pPr>
            <w:r>
              <w:rPr>
                <w:rFonts w:hint="eastAsia"/>
                <w:color w:val="000000"/>
                <w:sz w:val="22"/>
              </w:rPr>
              <w:t>271.65</w:t>
            </w:r>
          </w:p>
        </w:tc>
        <w:tc>
          <w:tcPr>
            <w:tcW w:w="535" w:type="pct"/>
            <w:tcBorders>
              <w:top w:val="nil"/>
              <w:left w:val="nil"/>
              <w:bottom w:val="single" w:sz="4" w:space="0" w:color="auto"/>
              <w:right w:val="single" w:sz="4" w:space="0" w:color="auto"/>
            </w:tcBorders>
            <w:shd w:val="clear" w:color="000000" w:fill="EAF1DD"/>
            <w:noWrap/>
            <w:vAlign w:val="center"/>
            <w:hideMark/>
          </w:tcPr>
          <w:p w:rsidR="008F48C6" w:rsidRDefault="008F48C6">
            <w:pPr>
              <w:jc w:val="center"/>
              <w:rPr>
                <w:rFonts w:ascii="宋体" w:eastAsia="宋体" w:hAnsi="宋体" w:cs="宋体"/>
                <w:color w:val="000000"/>
                <w:sz w:val="22"/>
              </w:rPr>
            </w:pPr>
            <w:r>
              <w:rPr>
                <w:rFonts w:hint="eastAsia"/>
                <w:color w:val="000000"/>
                <w:sz w:val="22"/>
              </w:rPr>
              <w:t>141.48</w:t>
            </w:r>
          </w:p>
        </w:tc>
        <w:tc>
          <w:tcPr>
            <w:tcW w:w="567" w:type="pct"/>
            <w:tcBorders>
              <w:top w:val="nil"/>
              <w:left w:val="nil"/>
              <w:bottom w:val="single" w:sz="4" w:space="0" w:color="auto"/>
              <w:right w:val="single" w:sz="4" w:space="0" w:color="auto"/>
            </w:tcBorders>
            <w:shd w:val="clear" w:color="000000" w:fill="EAF1DD"/>
            <w:noWrap/>
            <w:vAlign w:val="bottom"/>
            <w:hideMark/>
          </w:tcPr>
          <w:p w:rsidR="008F48C6" w:rsidRDefault="008F48C6">
            <w:pPr>
              <w:jc w:val="center"/>
              <w:rPr>
                <w:rFonts w:ascii="宋体" w:eastAsia="宋体" w:hAnsi="宋体" w:cs="宋体"/>
                <w:color w:val="000000"/>
                <w:sz w:val="22"/>
              </w:rPr>
            </w:pPr>
            <w:r>
              <w:rPr>
                <w:rFonts w:hint="eastAsia"/>
                <w:color w:val="000000"/>
                <w:sz w:val="22"/>
              </w:rPr>
              <w:t xml:space="preserve">5.24 </w:t>
            </w:r>
          </w:p>
        </w:tc>
        <w:tc>
          <w:tcPr>
            <w:tcW w:w="567" w:type="pct"/>
            <w:tcBorders>
              <w:top w:val="nil"/>
              <w:left w:val="nil"/>
              <w:bottom w:val="single" w:sz="4" w:space="0" w:color="auto"/>
              <w:right w:val="single" w:sz="4" w:space="0" w:color="auto"/>
            </w:tcBorders>
            <w:shd w:val="clear" w:color="000000" w:fill="EAF1DD"/>
            <w:noWrap/>
            <w:vAlign w:val="center"/>
            <w:hideMark/>
          </w:tcPr>
          <w:p w:rsidR="008F48C6" w:rsidRDefault="008F48C6">
            <w:pPr>
              <w:jc w:val="center"/>
              <w:rPr>
                <w:rFonts w:ascii="宋体" w:eastAsia="宋体" w:hAnsi="宋体" w:cs="宋体"/>
                <w:color w:val="000000"/>
                <w:sz w:val="22"/>
              </w:rPr>
            </w:pPr>
            <w:r>
              <w:rPr>
                <w:rFonts w:hint="eastAsia"/>
                <w:color w:val="000000"/>
                <w:sz w:val="22"/>
              </w:rPr>
              <w:t>257.63</w:t>
            </w:r>
          </w:p>
        </w:tc>
        <w:tc>
          <w:tcPr>
            <w:tcW w:w="487" w:type="pct"/>
            <w:tcBorders>
              <w:top w:val="nil"/>
              <w:left w:val="nil"/>
              <w:bottom w:val="single" w:sz="4" w:space="0" w:color="auto"/>
              <w:right w:val="single" w:sz="4" w:space="0" w:color="auto"/>
            </w:tcBorders>
            <w:shd w:val="clear" w:color="000000" w:fill="EAF1DD"/>
            <w:noWrap/>
            <w:vAlign w:val="center"/>
            <w:hideMark/>
          </w:tcPr>
          <w:p w:rsidR="008F48C6" w:rsidRDefault="008F48C6">
            <w:pPr>
              <w:jc w:val="center"/>
              <w:rPr>
                <w:rFonts w:ascii="宋体" w:eastAsia="宋体" w:hAnsi="宋体" w:cs="宋体"/>
                <w:color w:val="000000"/>
                <w:sz w:val="22"/>
              </w:rPr>
            </w:pPr>
            <w:r>
              <w:rPr>
                <w:rFonts w:hint="eastAsia"/>
                <w:color w:val="000000"/>
                <w:sz w:val="22"/>
              </w:rPr>
              <w:t xml:space="preserve">1.82 </w:t>
            </w:r>
          </w:p>
        </w:tc>
        <w:tc>
          <w:tcPr>
            <w:tcW w:w="485" w:type="pct"/>
            <w:tcBorders>
              <w:top w:val="nil"/>
              <w:left w:val="nil"/>
              <w:bottom w:val="single" w:sz="4" w:space="0" w:color="auto"/>
              <w:right w:val="single" w:sz="4" w:space="0" w:color="auto"/>
            </w:tcBorders>
            <w:shd w:val="clear" w:color="000000" w:fill="EAF1DD"/>
            <w:noWrap/>
            <w:vAlign w:val="bottom"/>
            <w:hideMark/>
          </w:tcPr>
          <w:p w:rsidR="008F48C6" w:rsidRDefault="008F48C6" w:rsidP="008F48C6">
            <w:pPr>
              <w:jc w:val="center"/>
              <w:rPr>
                <w:rFonts w:ascii="宋体" w:eastAsia="宋体" w:hAnsi="宋体" w:cs="宋体"/>
                <w:color w:val="000000"/>
                <w:sz w:val="22"/>
              </w:rPr>
            </w:pPr>
            <w:r>
              <w:rPr>
                <w:rFonts w:hint="eastAsia"/>
                <w:color w:val="000000"/>
                <w:sz w:val="22"/>
              </w:rPr>
              <w:t>10544</w:t>
            </w:r>
          </w:p>
        </w:tc>
        <w:tc>
          <w:tcPr>
            <w:tcW w:w="402" w:type="pct"/>
            <w:tcBorders>
              <w:top w:val="nil"/>
              <w:left w:val="nil"/>
              <w:bottom w:val="single" w:sz="4" w:space="0" w:color="auto"/>
              <w:right w:val="single" w:sz="4" w:space="0" w:color="auto"/>
            </w:tcBorders>
            <w:shd w:val="clear" w:color="000000" w:fill="EAF1DD"/>
            <w:noWrap/>
            <w:vAlign w:val="bottom"/>
            <w:hideMark/>
          </w:tcPr>
          <w:p w:rsidR="008F48C6" w:rsidRDefault="008F48C6">
            <w:pPr>
              <w:jc w:val="center"/>
              <w:rPr>
                <w:rFonts w:ascii="宋体" w:eastAsia="宋体" w:hAnsi="宋体" w:cs="宋体"/>
                <w:color w:val="000000"/>
                <w:sz w:val="22"/>
              </w:rPr>
            </w:pPr>
            <w:r>
              <w:rPr>
                <w:rFonts w:hint="eastAsia"/>
                <w:color w:val="000000"/>
                <w:sz w:val="22"/>
              </w:rPr>
              <w:t>15</w:t>
            </w:r>
          </w:p>
        </w:tc>
        <w:tc>
          <w:tcPr>
            <w:tcW w:w="567" w:type="pct"/>
            <w:tcBorders>
              <w:top w:val="nil"/>
              <w:left w:val="nil"/>
              <w:bottom w:val="single" w:sz="4" w:space="0" w:color="auto"/>
              <w:right w:val="single" w:sz="4" w:space="0" w:color="auto"/>
            </w:tcBorders>
            <w:shd w:val="clear" w:color="000000" w:fill="EAF1DD"/>
            <w:noWrap/>
            <w:vAlign w:val="bottom"/>
            <w:hideMark/>
          </w:tcPr>
          <w:p w:rsidR="008F48C6" w:rsidRDefault="008F48C6">
            <w:pPr>
              <w:jc w:val="center"/>
              <w:rPr>
                <w:rFonts w:ascii="宋体" w:eastAsia="宋体" w:hAnsi="宋体" w:cs="宋体"/>
                <w:color w:val="000000"/>
                <w:sz w:val="22"/>
              </w:rPr>
            </w:pPr>
            <w:r>
              <w:rPr>
                <w:rFonts w:hint="eastAsia"/>
                <w:color w:val="000000"/>
                <w:sz w:val="22"/>
              </w:rPr>
              <w:t>104.45%</w:t>
            </w:r>
          </w:p>
        </w:tc>
      </w:tr>
    </w:tbl>
    <w:p w:rsidR="003D391E" w:rsidRDefault="003D391E" w:rsidP="0086328F">
      <w:pPr>
        <w:spacing w:beforeLines="100" w:before="312" w:line="360" w:lineRule="auto"/>
        <w:jc w:val="left"/>
        <w:rPr>
          <w:rFonts w:asciiTheme="minorEastAsia" w:hAnsiTheme="minorEastAsia"/>
          <w:b/>
          <w:sz w:val="24"/>
          <w:szCs w:val="24"/>
        </w:rPr>
      </w:pPr>
      <w:r w:rsidRPr="00DB29BF">
        <w:rPr>
          <w:rFonts w:asciiTheme="minorEastAsia" w:hAnsiTheme="minorEastAsia" w:hint="eastAsia"/>
          <w:b/>
          <w:color w:val="FF0000"/>
          <w:sz w:val="24"/>
          <w:szCs w:val="24"/>
          <w:vertAlign w:val="superscript"/>
        </w:rPr>
        <w:t>×</w:t>
      </w:r>
      <w:r w:rsidRPr="00CE1ACD">
        <w:rPr>
          <w:rFonts w:asciiTheme="minorEastAsia" w:hAnsiTheme="minorEastAsia" w:hint="eastAsia"/>
          <w:b/>
          <w:sz w:val="24"/>
          <w:szCs w:val="24"/>
        </w:rPr>
        <w:t>(</w:t>
      </w:r>
      <w:r>
        <w:rPr>
          <w:rFonts w:asciiTheme="minorEastAsia" w:hAnsiTheme="minorEastAsia" w:hint="eastAsia"/>
          <w:b/>
          <w:sz w:val="24"/>
          <w:szCs w:val="24"/>
        </w:rPr>
        <w:t>三</w:t>
      </w:r>
      <w:r w:rsidRPr="00CE1ACD">
        <w:rPr>
          <w:rFonts w:asciiTheme="minorEastAsia" w:hAnsiTheme="minorEastAsia" w:hint="eastAsia"/>
          <w:b/>
          <w:sz w:val="24"/>
          <w:szCs w:val="24"/>
        </w:rPr>
        <w:t>)</w:t>
      </w:r>
      <w:r>
        <w:rPr>
          <w:rFonts w:asciiTheme="minorEastAsia" w:hAnsiTheme="minorEastAsia" w:hint="eastAsia"/>
          <w:b/>
          <w:sz w:val="24"/>
          <w:szCs w:val="24"/>
        </w:rPr>
        <w:t>无锡</w:t>
      </w:r>
    </w:p>
    <w:p w:rsidR="00AA56F3" w:rsidRDefault="00AA56F3" w:rsidP="00AA56F3">
      <w:pPr>
        <w:spacing w:line="360" w:lineRule="auto"/>
        <w:ind w:firstLineChars="200" w:firstLine="480"/>
        <w:jc w:val="left"/>
        <w:rPr>
          <w:rFonts w:asciiTheme="minorEastAsia" w:hAnsiTheme="minorEastAsia"/>
          <w:sz w:val="24"/>
          <w:szCs w:val="24"/>
        </w:rPr>
      </w:pPr>
      <w:r w:rsidRPr="00225C00">
        <w:rPr>
          <w:rFonts w:asciiTheme="minorEastAsia" w:hAnsiTheme="minorEastAsia" w:hint="eastAsia"/>
          <w:sz w:val="24"/>
          <w:szCs w:val="24"/>
        </w:rPr>
        <w:t>2015</w:t>
      </w:r>
      <w:r w:rsidR="008F48C6">
        <w:rPr>
          <w:rFonts w:asciiTheme="minorEastAsia" w:hAnsiTheme="minorEastAsia" w:hint="eastAsia"/>
          <w:sz w:val="24"/>
          <w:szCs w:val="24"/>
        </w:rPr>
        <w:t>年第三</w:t>
      </w:r>
      <w:r w:rsidRPr="00225C00">
        <w:rPr>
          <w:rFonts w:asciiTheme="minorEastAsia" w:hAnsiTheme="minorEastAsia" w:hint="eastAsia"/>
          <w:sz w:val="24"/>
          <w:szCs w:val="24"/>
        </w:rPr>
        <w:t>季度，</w:t>
      </w:r>
      <w:r>
        <w:rPr>
          <w:rFonts w:asciiTheme="minorEastAsia" w:hAnsiTheme="minorEastAsia" w:hint="eastAsia"/>
          <w:sz w:val="24"/>
          <w:szCs w:val="24"/>
        </w:rPr>
        <w:t>无锡市共成交土地4宗</w:t>
      </w:r>
      <w:r w:rsidRPr="002E3F3B">
        <w:rPr>
          <w:rFonts w:asciiTheme="minorEastAsia" w:hAnsiTheme="minorEastAsia" w:hint="eastAsia"/>
          <w:sz w:val="24"/>
          <w:szCs w:val="24"/>
        </w:rPr>
        <w:t>，同比下降</w:t>
      </w:r>
      <w:r w:rsidR="002E3F3B" w:rsidRPr="002E3F3B">
        <w:rPr>
          <w:rFonts w:asciiTheme="minorEastAsia" w:hAnsiTheme="minorEastAsia" w:hint="eastAsia"/>
          <w:sz w:val="24"/>
          <w:szCs w:val="24"/>
        </w:rPr>
        <w:t>69.23</w:t>
      </w:r>
      <w:r w:rsidRPr="002E3F3B">
        <w:rPr>
          <w:rFonts w:asciiTheme="minorEastAsia" w:hAnsiTheme="minorEastAsia" w:hint="eastAsia"/>
          <w:sz w:val="24"/>
          <w:szCs w:val="24"/>
        </w:rPr>
        <w:t>%，环比</w:t>
      </w:r>
      <w:r w:rsidR="002E3F3B" w:rsidRPr="002E3F3B">
        <w:rPr>
          <w:rFonts w:asciiTheme="minorEastAsia" w:hAnsiTheme="minorEastAsia" w:hint="eastAsia"/>
          <w:sz w:val="24"/>
          <w:szCs w:val="24"/>
        </w:rPr>
        <w:t>持平</w:t>
      </w:r>
      <w:r w:rsidRPr="002E3F3B">
        <w:rPr>
          <w:rFonts w:asciiTheme="minorEastAsia" w:hAnsiTheme="minorEastAsia" w:hint="eastAsia"/>
          <w:sz w:val="24"/>
          <w:szCs w:val="24"/>
        </w:rPr>
        <w:t>。无锡市成交土地大幅下降的原因主要由于政府供应较少导致的。</w:t>
      </w:r>
    </w:p>
    <w:p w:rsidR="00AA56F3" w:rsidRDefault="00AA56F3" w:rsidP="00AA56F3">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从用途来看，纯住宅用地1宗，商住用地</w:t>
      </w:r>
      <w:r w:rsidR="008F48C6">
        <w:rPr>
          <w:rFonts w:asciiTheme="minorEastAsia" w:hAnsiTheme="minorEastAsia" w:hint="eastAsia"/>
          <w:sz w:val="24"/>
          <w:szCs w:val="24"/>
        </w:rPr>
        <w:t>0</w:t>
      </w:r>
      <w:r>
        <w:rPr>
          <w:rFonts w:asciiTheme="minorEastAsia" w:hAnsiTheme="minorEastAsia" w:hint="eastAsia"/>
          <w:sz w:val="24"/>
          <w:szCs w:val="24"/>
        </w:rPr>
        <w:t>宗，商业用地2宗，且地块规模均偏小。</w:t>
      </w:r>
    </w:p>
    <w:p w:rsidR="00AA56F3" w:rsidRDefault="008F48C6" w:rsidP="00AA56F3">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无锡市成交宗地的大幅下滑，土地收入也明显下降。三</w:t>
      </w:r>
      <w:r w:rsidR="00AA56F3">
        <w:rPr>
          <w:rFonts w:asciiTheme="minorEastAsia" w:hAnsiTheme="minorEastAsia" w:hint="eastAsia"/>
          <w:sz w:val="24"/>
          <w:szCs w:val="24"/>
        </w:rPr>
        <w:t>季度土地成交金额仅</w:t>
      </w:r>
      <w:r>
        <w:rPr>
          <w:rFonts w:asciiTheme="minorEastAsia" w:hAnsiTheme="minorEastAsia" w:hint="eastAsia"/>
          <w:sz w:val="24"/>
          <w:szCs w:val="24"/>
        </w:rPr>
        <w:t>7.57</w:t>
      </w:r>
      <w:r w:rsidR="00AA56F3">
        <w:rPr>
          <w:rFonts w:asciiTheme="minorEastAsia" w:hAnsiTheme="minorEastAsia" w:hint="eastAsia"/>
          <w:sz w:val="24"/>
          <w:szCs w:val="24"/>
        </w:rPr>
        <w:t>亿</w:t>
      </w:r>
      <w:r w:rsidR="00AA56F3" w:rsidRPr="002E3F3B">
        <w:rPr>
          <w:rFonts w:asciiTheme="minorEastAsia" w:hAnsiTheme="minorEastAsia" w:hint="eastAsia"/>
          <w:sz w:val="24"/>
          <w:szCs w:val="24"/>
        </w:rPr>
        <w:t>元，同比下跌</w:t>
      </w:r>
      <w:r w:rsidR="002E3F3B" w:rsidRPr="002E3F3B">
        <w:rPr>
          <w:rFonts w:asciiTheme="minorEastAsia" w:hAnsiTheme="minorEastAsia" w:hint="eastAsia"/>
          <w:sz w:val="24"/>
          <w:szCs w:val="24"/>
        </w:rPr>
        <w:t>71.18</w:t>
      </w:r>
      <w:r w:rsidR="00AA56F3" w:rsidRPr="002E3F3B">
        <w:rPr>
          <w:rFonts w:asciiTheme="minorEastAsia" w:hAnsiTheme="minorEastAsia" w:hint="eastAsia"/>
          <w:sz w:val="24"/>
          <w:szCs w:val="24"/>
        </w:rPr>
        <w:t>%，环比</w:t>
      </w:r>
      <w:r w:rsidR="002E3F3B" w:rsidRPr="002E3F3B">
        <w:rPr>
          <w:rFonts w:asciiTheme="minorEastAsia" w:hAnsiTheme="minorEastAsia" w:hint="eastAsia"/>
          <w:sz w:val="24"/>
          <w:szCs w:val="24"/>
        </w:rPr>
        <w:t>增加178.93</w:t>
      </w:r>
      <w:r w:rsidR="00AA56F3" w:rsidRPr="002E3F3B">
        <w:rPr>
          <w:rFonts w:asciiTheme="minorEastAsia" w:hAnsiTheme="minorEastAsia" w:hint="eastAsia"/>
          <w:sz w:val="24"/>
          <w:szCs w:val="24"/>
        </w:rPr>
        <w:t>%。土地市场供应收紧明显，主要由于市场上库存积压非常严重</w:t>
      </w:r>
      <w:r w:rsidR="00AA56F3">
        <w:rPr>
          <w:rFonts w:asciiTheme="minorEastAsia" w:hAnsiTheme="minorEastAsia" w:hint="eastAsia"/>
          <w:sz w:val="24"/>
          <w:szCs w:val="24"/>
        </w:rPr>
        <w:t>。</w:t>
      </w:r>
    </w:p>
    <w:p w:rsidR="00AA56F3" w:rsidRDefault="008F48C6" w:rsidP="00AA56F3">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三</w:t>
      </w:r>
      <w:r w:rsidR="00AA56F3">
        <w:rPr>
          <w:rFonts w:asciiTheme="minorEastAsia" w:hAnsiTheme="minorEastAsia" w:hint="eastAsia"/>
          <w:sz w:val="24"/>
          <w:szCs w:val="24"/>
        </w:rPr>
        <w:t>季度楼面均价</w:t>
      </w:r>
      <w:r>
        <w:rPr>
          <w:rFonts w:asciiTheme="minorEastAsia" w:hAnsiTheme="minorEastAsia" w:hint="eastAsia"/>
          <w:sz w:val="24"/>
          <w:szCs w:val="24"/>
        </w:rPr>
        <w:t>2320</w:t>
      </w:r>
      <w:r w:rsidR="00AA56F3">
        <w:rPr>
          <w:rFonts w:asciiTheme="minorEastAsia" w:hAnsiTheme="minorEastAsia" w:hint="eastAsia"/>
          <w:sz w:val="24"/>
          <w:szCs w:val="24"/>
        </w:rPr>
        <w:t>元/m</w:t>
      </w:r>
      <w:r w:rsidR="00AA56F3">
        <w:rPr>
          <w:rFonts w:asciiTheme="minorEastAsia" w:hAnsiTheme="minorEastAsia" w:hint="eastAsia"/>
          <w:sz w:val="24"/>
          <w:szCs w:val="24"/>
          <w:vertAlign w:val="superscript"/>
        </w:rPr>
        <w:t>2</w:t>
      </w:r>
      <w:r w:rsidR="00AA56F3">
        <w:rPr>
          <w:rFonts w:asciiTheme="minorEastAsia" w:hAnsiTheme="minorEastAsia" w:hint="eastAsia"/>
          <w:sz w:val="24"/>
          <w:szCs w:val="24"/>
        </w:rPr>
        <w:t>，</w:t>
      </w:r>
      <w:r w:rsidR="00AA56F3" w:rsidRPr="002E3F3B">
        <w:rPr>
          <w:rFonts w:asciiTheme="minorEastAsia" w:hAnsiTheme="minorEastAsia" w:hint="eastAsia"/>
          <w:sz w:val="24"/>
          <w:szCs w:val="24"/>
        </w:rPr>
        <w:t>同比增加</w:t>
      </w:r>
      <w:r w:rsidR="002E3F3B" w:rsidRPr="002E3F3B">
        <w:rPr>
          <w:rFonts w:asciiTheme="minorEastAsia" w:hAnsiTheme="minorEastAsia" w:hint="eastAsia"/>
          <w:sz w:val="24"/>
          <w:szCs w:val="24"/>
        </w:rPr>
        <w:t>8.23</w:t>
      </w:r>
      <w:r w:rsidR="00AA56F3" w:rsidRPr="002E3F3B">
        <w:rPr>
          <w:rFonts w:asciiTheme="minorEastAsia" w:hAnsiTheme="minorEastAsia" w:hint="eastAsia"/>
          <w:sz w:val="24"/>
          <w:szCs w:val="24"/>
        </w:rPr>
        <w:t>%,环比增加</w:t>
      </w:r>
      <w:r w:rsidR="002E3F3B" w:rsidRPr="002E3F3B">
        <w:rPr>
          <w:rFonts w:asciiTheme="minorEastAsia" w:hAnsiTheme="minorEastAsia" w:hint="eastAsia"/>
          <w:sz w:val="24"/>
          <w:szCs w:val="24"/>
        </w:rPr>
        <w:t>23.93</w:t>
      </w:r>
      <w:r w:rsidR="00AA56F3" w:rsidRPr="002E3F3B">
        <w:rPr>
          <w:rFonts w:asciiTheme="minorEastAsia" w:hAnsiTheme="minorEastAsia" w:hint="eastAsia"/>
          <w:sz w:val="24"/>
          <w:szCs w:val="24"/>
        </w:rPr>
        <w:t>%。楼面均价</w:t>
      </w:r>
      <w:r w:rsidR="00AA56F3">
        <w:rPr>
          <w:rFonts w:asciiTheme="minorEastAsia" w:hAnsiTheme="minorEastAsia" w:hint="eastAsia"/>
          <w:sz w:val="24"/>
          <w:szCs w:val="24"/>
        </w:rPr>
        <w:t>有所上涨，主要源于市场供应的减少，造成市场人为的升温，另外商业用地地价相对保持高位。具体来看，纯住宅用地楼面均价</w:t>
      </w:r>
      <w:r>
        <w:rPr>
          <w:rFonts w:asciiTheme="minorEastAsia" w:hAnsiTheme="minorEastAsia" w:hint="eastAsia"/>
          <w:sz w:val="24"/>
          <w:szCs w:val="24"/>
        </w:rPr>
        <w:t>1058</w:t>
      </w:r>
      <w:r w:rsidR="00AA56F3">
        <w:rPr>
          <w:rFonts w:asciiTheme="minorEastAsia" w:hAnsiTheme="minorEastAsia" w:hint="eastAsia"/>
          <w:sz w:val="24"/>
          <w:szCs w:val="24"/>
        </w:rPr>
        <w:t>元/m</w:t>
      </w:r>
      <w:r w:rsidR="00AA56F3">
        <w:rPr>
          <w:rFonts w:asciiTheme="minorEastAsia" w:hAnsiTheme="minorEastAsia" w:hint="eastAsia"/>
          <w:sz w:val="24"/>
          <w:szCs w:val="24"/>
          <w:vertAlign w:val="superscript"/>
        </w:rPr>
        <w:t>2</w:t>
      </w:r>
      <w:r>
        <w:rPr>
          <w:rFonts w:asciiTheme="minorEastAsia" w:hAnsiTheme="minorEastAsia" w:hint="eastAsia"/>
          <w:sz w:val="24"/>
          <w:szCs w:val="24"/>
        </w:rPr>
        <w:t>,</w:t>
      </w:r>
      <w:r w:rsidR="00AA56F3">
        <w:rPr>
          <w:rFonts w:asciiTheme="minorEastAsia" w:hAnsiTheme="minorEastAsia" w:hint="eastAsia"/>
          <w:sz w:val="24"/>
          <w:szCs w:val="24"/>
        </w:rPr>
        <w:t>商业用地</w:t>
      </w:r>
      <w:r>
        <w:rPr>
          <w:rFonts w:asciiTheme="minorEastAsia" w:hAnsiTheme="minorEastAsia" w:hint="eastAsia"/>
          <w:sz w:val="24"/>
          <w:szCs w:val="24"/>
        </w:rPr>
        <w:t>5633</w:t>
      </w:r>
      <w:r w:rsidR="00AA56F3">
        <w:rPr>
          <w:rFonts w:asciiTheme="minorEastAsia" w:hAnsiTheme="minorEastAsia" w:hint="eastAsia"/>
          <w:sz w:val="24"/>
          <w:szCs w:val="24"/>
        </w:rPr>
        <w:t>元/m</w:t>
      </w:r>
      <w:r w:rsidR="00AA56F3">
        <w:rPr>
          <w:rFonts w:asciiTheme="minorEastAsia" w:hAnsiTheme="minorEastAsia" w:hint="eastAsia"/>
          <w:sz w:val="24"/>
          <w:szCs w:val="24"/>
          <w:vertAlign w:val="superscript"/>
        </w:rPr>
        <w:t>2</w:t>
      </w:r>
      <w:r w:rsidR="00AA56F3">
        <w:rPr>
          <w:rFonts w:asciiTheme="minorEastAsia" w:hAnsiTheme="minorEastAsia" w:hint="eastAsia"/>
          <w:sz w:val="24"/>
          <w:szCs w:val="24"/>
        </w:rPr>
        <w:t>。</w:t>
      </w:r>
    </w:p>
    <w:p w:rsidR="00041A5A" w:rsidRDefault="00AA56F3" w:rsidP="00AA56F3">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从地块竞价程度来看，</w:t>
      </w:r>
      <w:proofErr w:type="gramStart"/>
      <w:r>
        <w:rPr>
          <w:rFonts w:asciiTheme="minorEastAsia" w:hAnsiTheme="minorEastAsia" w:hint="eastAsia"/>
          <w:sz w:val="24"/>
          <w:szCs w:val="24"/>
        </w:rPr>
        <w:t>无锡市</w:t>
      </w:r>
      <w:r w:rsidR="008F48C6">
        <w:rPr>
          <w:rFonts w:asciiTheme="minorEastAsia" w:hAnsiTheme="minorEastAsia" w:hint="eastAsia"/>
          <w:sz w:val="24"/>
          <w:szCs w:val="24"/>
        </w:rPr>
        <w:t>纯住宅</w:t>
      </w:r>
      <w:proofErr w:type="gramEnd"/>
      <w:r w:rsidR="008F48C6">
        <w:rPr>
          <w:rFonts w:asciiTheme="minorEastAsia" w:hAnsiTheme="minorEastAsia" w:hint="eastAsia"/>
          <w:sz w:val="24"/>
          <w:szCs w:val="24"/>
        </w:rPr>
        <w:t>用地和商业</w:t>
      </w:r>
      <w:r>
        <w:rPr>
          <w:rFonts w:asciiTheme="minorEastAsia" w:hAnsiTheme="minorEastAsia" w:hint="eastAsia"/>
          <w:sz w:val="24"/>
          <w:szCs w:val="24"/>
        </w:rPr>
        <w:t>用地均未出现溢价。</w:t>
      </w:r>
    </w:p>
    <w:p w:rsidR="00462E71" w:rsidRPr="00885951" w:rsidRDefault="00462E71" w:rsidP="00462E71">
      <w:pPr>
        <w:spacing w:line="360" w:lineRule="auto"/>
        <w:jc w:val="center"/>
        <w:rPr>
          <w:rFonts w:asciiTheme="minorEastAsia" w:hAnsiTheme="minorEastAsia"/>
          <w:b/>
          <w:sz w:val="24"/>
          <w:szCs w:val="24"/>
        </w:rPr>
      </w:pPr>
      <w:r w:rsidRPr="00885951">
        <w:rPr>
          <w:rFonts w:asciiTheme="minorEastAsia" w:hAnsiTheme="minorEastAsia" w:hint="eastAsia"/>
          <w:b/>
          <w:szCs w:val="21"/>
        </w:rPr>
        <w:t>表</w:t>
      </w:r>
      <w:r w:rsidR="00885951" w:rsidRPr="00885951">
        <w:rPr>
          <w:rFonts w:asciiTheme="minorEastAsia" w:hAnsiTheme="minorEastAsia" w:hint="eastAsia"/>
          <w:b/>
          <w:szCs w:val="21"/>
        </w:rPr>
        <w:t>5</w:t>
      </w:r>
      <w:r w:rsidRPr="00885951">
        <w:rPr>
          <w:rFonts w:asciiTheme="minorEastAsia" w:hAnsiTheme="minorEastAsia" w:hint="eastAsia"/>
          <w:b/>
          <w:szCs w:val="21"/>
        </w:rPr>
        <w:t xml:space="preserve"> 2015</w:t>
      </w:r>
      <w:r w:rsidR="008F48C6">
        <w:rPr>
          <w:rFonts w:asciiTheme="minorEastAsia" w:hAnsiTheme="minorEastAsia" w:hint="eastAsia"/>
          <w:b/>
          <w:szCs w:val="21"/>
        </w:rPr>
        <w:t>年三</w:t>
      </w:r>
      <w:r w:rsidRPr="00885951">
        <w:rPr>
          <w:rFonts w:asciiTheme="minorEastAsia" w:hAnsiTheme="minorEastAsia" w:hint="eastAsia"/>
          <w:b/>
          <w:szCs w:val="21"/>
        </w:rPr>
        <w:t>季度无锡市土地市场成交情况</w:t>
      </w:r>
    </w:p>
    <w:tbl>
      <w:tblPr>
        <w:tblW w:w="5000" w:type="pct"/>
        <w:tblLayout w:type="fixed"/>
        <w:tblLook w:val="04A0" w:firstRow="1" w:lastRow="0" w:firstColumn="1" w:lastColumn="0" w:noHBand="0" w:noVBand="1"/>
      </w:tblPr>
      <w:tblGrid>
        <w:gridCol w:w="960"/>
        <w:gridCol w:w="568"/>
        <w:gridCol w:w="876"/>
        <w:gridCol w:w="966"/>
        <w:gridCol w:w="992"/>
        <w:gridCol w:w="992"/>
        <w:gridCol w:w="852"/>
        <w:gridCol w:w="707"/>
        <w:gridCol w:w="736"/>
        <w:gridCol w:w="873"/>
      </w:tblGrid>
      <w:tr w:rsidR="00AA56F3" w:rsidRPr="00AA56F3" w:rsidTr="008F48C6">
        <w:trPr>
          <w:trHeight w:val="540"/>
        </w:trPr>
        <w:tc>
          <w:tcPr>
            <w:tcW w:w="563" w:type="pc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4B349A" w:rsidRPr="00AA56F3" w:rsidRDefault="004B349A" w:rsidP="004B349A">
            <w:pPr>
              <w:widowControl/>
              <w:jc w:val="center"/>
              <w:rPr>
                <w:rFonts w:ascii="宋体" w:eastAsia="宋体" w:hAnsi="宋体" w:cs="宋体"/>
                <w:b/>
                <w:color w:val="000000"/>
                <w:kern w:val="0"/>
                <w:szCs w:val="21"/>
              </w:rPr>
            </w:pPr>
            <w:r w:rsidRPr="00AA56F3">
              <w:rPr>
                <w:rFonts w:ascii="宋体" w:eastAsia="宋体" w:hAnsi="宋体" w:cs="宋体" w:hint="eastAsia"/>
                <w:b/>
                <w:color w:val="000000"/>
                <w:kern w:val="0"/>
                <w:szCs w:val="21"/>
              </w:rPr>
              <w:t>用途</w:t>
            </w:r>
          </w:p>
        </w:tc>
        <w:tc>
          <w:tcPr>
            <w:tcW w:w="333" w:type="pct"/>
            <w:tcBorders>
              <w:top w:val="single" w:sz="4" w:space="0" w:color="auto"/>
              <w:left w:val="nil"/>
              <w:bottom w:val="single" w:sz="4" w:space="0" w:color="auto"/>
              <w:right w:val="single" w:sz="4" w:space="0" w:color="auto"/>
            </w:tcBorders>
            <w:shd w:val="clear" w:color="000000" w:fill="D7E4BC"/>
            <w:noWrap/>
            <w:vAlign w:val="center"/>
            <w:hideMark/>
          </w:tcPr>
          <w:p w:rsidR="004B349A" w:rsidRPr="00AA56F3" w:rsidRDefault="004B349A" w:rsidP="004B349A">
            <w:pPr>
              <w:widowControl/>
              <w:jc w:val="center"/>
              <w:rPr>
                <w:rFonts w:ascii="宋体" w:eastAsia="宋体" w:hAnsi="宋体" w:cs="宋体"/>
                <w:b/>
                <w:color w:val="000000"/>
                <w:kern w:val="0"/>
                <w:szCs w:val="21"/>
              </w:rPr>
            </w:pPr>
            <w:r w:rsidRPr="00AA56F3">
              <w:rPr>
                <w:rFonts w:ascii="宋体" w:eastAsia="宋体" w:hAnsi="宋体" w:cs="宋体" w:hint="eastAsia"/>
                <w:b/>
                <w:color w:val="000000"/>
                <w:kern w:val="0"/>
                <w:szCs w:val="21"/>
              </w:rPr>
              <w:t>宗数</w:t>
            </w:r>
          </w:p>
        </w:tc>
        <w:tc>
          <w:tcPr>
            <w:tcW w:w="514" w:type="pct"/>
            <w:tcBorders>
              <w:top w:val="single" w:sz="4" w:space="0" w:color="auto"/>
              <w:left w:val="nil"/>
              <w:bottom w:val="single" w:sz="4" w:space="0" w:color="auto"/>
              <w:right w:val="single" w:sz="4" w:space="0" w:color="auto"/>
            </w:tcBorders>
            <w:shd w:val="clear" w:color="000000" w:fill="D7E4BC"/>
            <w:vAlign w:val="center"/>
            <w:hideMark/>
          </w:tcPr>
          <w:p w:rsidR="004B349A" w:rsidRPr="00AA56F3" w:rsidRDefault="004B349A" w:rsidP="004B349A">
            <w:pPr>
              <w:widowControl/>
              <w:jc w:val="center"/>
              <w:rPr>
                <w:rFonts w:ascii="宋体" w:eastAsia="宋体" w:hAnsi="宋体" w:cs="宋体"/>
                <w:b/>
                <w:color w:val="000000"/>
                <w:kern w:val="0"/>
                <w:szCs w:val="21"/>
              </w:rPr>
            </w:pPr>
            <w:r w:rsidRPr="00AA56F3">
              <w:rPr>
                <w:rFonts w:ascii="宋体" w:eastAsia="宋体" w:hAnsi="宋体" w:cs="宋体" w:hint="eastAsia"/>
                <w:b/>
                <w:color w:val="000000"/>
                <w:kern w:val="0"/>
                <w:szCs w:val="21"/>
              </w:rPr>
              <w:t>成交金额（亿元）</w:t>
            </w:r>
          </w:p>
        </w:tc>
        <w:tc>
          <w:tcPr>
            <w:tcW w:w="567" w:type="pct"/>
            <w:tcBorders>
              <w:top w:val="single" w:sz="4" w:space="0" w:color="auto"/>
              <w:left w:val="nil"/>
              <w:bottom w:val="single" w:sz="4" w:space="0" w:color="auto"/>
              <w:right w:val="single" w:sz="4" w:space="0" w:color="auto"/>
            </w:tcBorders>
            <w:shd w:val="clear" w:color="000000" w:fill="D7E4BC"/>
            <w:vAlign w:val="center"/>
            <w:hideMark/>
          </w:tcPr>
          <w:p w:rsidR="004B349A" w:rsidRPr="00AA56F3" w:rsidRDefault="004B349A" w:rsidP="004B349A">
            <w:pPr>
              <w:widowControl/>
              <w:jc w:val="center"/>
              <w:rPr>
                <w:rFonts w:ascii="宋体" w:eastAsia="宋体" w:hAnsi="宋体" w:cs="宋体"/>
                <w:b/>
                <w:color w:val="000000"/>
                <w:kern w:val="0"/>
                <w:szCs w:val="21"/>
              </w:rPr>
            </w:pPr>
            <w:r w:rsidRPr="00AA56F3">
              <w:rPr>
                <w:rFonts w:ascii="宋体" w:eastAsia="宋体" w:hAnsi="宋体" w:cs="宋体" w:hint="eastAsia"/>
                <w:b/>
                <w:color w:val="000000"/>
                <w:kern w:val="0"/>
                <w:szCs w:val="21"/>
              </w:rPr>
              <w:t>宗地面积（万m2）</w:t>
            </w:r>
          </w:p>
        </w:tc>
        <w:tc>
          <w:tcPr>
            <w:tcW w:w="582" w:type="pct"/>
            <w:tcBorders>
              <w:top w:val="single" w:sz="4" w:space="0" w:color="auto"/>
              <w:left w:val="nil"/>
              <w:bottom w:val="single" w:sz="4" w:space="0" w:color="auto"/>
              <w:right w:val="single" w:sz="4" w:space="0" w:color="auto"/>
            </w:tcBorders>
            <w:shd w:val="clear" w:color="000000" w:fill="D7E4BC"/>
            <w:vAlign w:val="center"/>
            <w:hideMark/>
          </w:tcPr>
          <w:p w:rsidR="004B349A" w:rsidRPr="00AA56F3" w:rsidRDefault="004B349A" w:rsidP="004B349A">
            <w:pPr>
              <w:widowControl/>
              <w:jc w:val="center"/>
              <w:rPr>
                <w:rFonts w:ascii="宋体" w:eastAsia="宋体" w:hAnsi="宋体" w:cs="宋体"/>
                <w:b/>
                <w:color w:val="000000"/>
                <w:kern w:val="0"/>
                <w:szCs w:val="21"/>
              </w:rPr>
            </w:pPr>
            <w:r w:rsidRPr="00AA56F3">
              <w:rPr>
                <w:rFonts w:ascii="宋体" w:eastAsia="宋体" w:hAnsi="宋体" w:cs="宋体" w:hint="eastAsia"/>
                <w:b/>
                <w:color w:val="000000"/>
                <w:kern w:val="0"/>
                <w:szCs w:val="21"/>
              </w:rPr>
              <w:t>平均规模（万m2）</w:t>
            </w:r>
          </w:p>
        </w:tc>
        <w:tc>
          <w:tcPr>
            <w:tcW w:w="582" w:type="pct"/>
            <w:tcBorders>
              <w:top w:val="single" w:sz="4" w:space="0" w:color="auto"/>
              <w:left w:val="nil"/>
              <w:bottom w:val="single" w:sz="4" w:space="0" w:color="auto"/>
              <w:right w:val="single" w:sz="4" w:space="0" w:color="auto"/>
            </w:tcBorders>
            <w:shd w:val="clear" w:color="000000" w:fill="D7E4BC"/>
            <w:vAlign w:val="center"/>
            <w:hideMark/>
          </w:tcPr>
          <w:p w:rsidR="004B349A" w:rsidRPr="00AA56F3" w:rsidRDefault="004B349A" w:rsidP="004B349A">
            <w:pPr>
              <w:widowControl/>
              <w:jc w:val="center"/>
              <w:rPr>
                <w:rFonts w:ascii="宋体" w:eastAsia="宋体" w:hAnsi="宋体" w:cs="宋体"/>
                <w:b/>
                <w:color w:val="000000"/>
                <w:kern w:val="0"/>
                <w:szCs w:val="21"/>
              </w:rPr>
            </w:pPr>
            <w:r w:rsidRPr="00AA56F3">
              <w:rPr>
                <w:rFonts w:ascii="宋体" w:eastAsia="宋体" w:hAnsi="宋体" w:cs="宋体" w:hint="eastAsia"/>
                <w:b/>
                <w:color w:val="000000"/>
                <w:kern w:val="0"/>
                <w:szCs w:val="21"/>
              </w:rPr>
              <w:t>建筑面积（万m2）</w:t>
            </w:r>
          </w:p>
        </w:tc>
        <w:tc>
          <w:tcPr>
            <w:tcW w:w="500" w:type="pct"/>
            <w:tcBorders>
              <w:top w:val="single" w:sz="4" w:space="0" w:color="auto"/>
              <w:left w:val="nil"/>
              <w:bottom w:val="single" w:sz="4" w:space="0" w:color="auto"/>
              <w:right w:val="single" w:sz="4" w:space="0" w:color="auto"/>
            </w:tcBorders>
            <w:shd w:val="clear" w:color="000000" w:fill="D7E4BC"/>
            <w:vAlign w:val="center"/>
            <w:hideMark/>
          </w:tcPr>
          <w:p w:rsidR="004B349A" w:rsidRPr="00AA56F3" w:rsidRDefault="004B349A" w:rsidP="004B349A">
            <w:pPr>
              <w:widowControl/>
              <w:jc w:val="center"/>
              <w:rPr>
                <w:rFonts w:ascii="宋体" w:eastAsia="宋体" w:hAnsi="宋体" w:cs="宋体"/>
                <w:b/>
                <w:color w:val="000000"/>
                <w:kern w:val="0"/>
                <w:szCs w:val="21"/>
              </w:rPr>
            </w:pPr>
            <w:r w:rsidRPr="00AA56F3">
              <w:rPr>
                <w:rFonts w:ascii="宋体" w:eastAsia="宋体" w:hAnsi="宋体" w:cs="宋体" w:hint="eastAsia"/>
                <w:b/>
                <w:color w:val="000000"/>
                <w:kern w:val="0"/>
                <w:szCs w:val="21"/>
              </w:rPr>
              <w:t>平均容积率</w:t>
            </w:r>
          </w:p>
        </w:tc>
        <w:tc>
          <w:tcPr>
            <w:tcW w:w="415" w:type="pct"/>
            <w:tcBorders>
              <w:top w:val="single" w:sz="4" w:space="0" w:color="auto"/>
              <w:left w:val="nil"/>
              <w:bottom w:val="single" w:sz="4" w:space="0" w:color="auto"/>
              <w:right w:val="single" w:sz="4" w:space="0" w:color="auto"/>
            </w:tcBorders>
            <w:shd w:val="clear" w:color="000000" w:fill="D7E4BC"/>
            <w:noWrap/>
            <w:vAlign w:val="center"/>
            <w:hideMark/>
          </w:tcPr>
          <w:p w:rsidR="004B349A" w:rsidRPr="00AA56F3" w:rsidRDefault="004B349A" w:rsidP="004B349A">
            <w:pPr>
              <w:widowControl/>
              <w:jc w:val="center"/>
              <w:rPr>
                <w:rFonts w:ascii="宋体" w:eastAsia="宋体" w:hAnsi="宋体" w:cs="宋体"/>
                <w:b/>
                <w:color w:val="000000"/>
                <w:kern w:val="0"/>
                <w:szCs w:val="21"/>
              </w:rPr>
            </w:pPr>
            <w:r w:rsidRPr="00AA56F3">
              <w:rPr>
                <w:rFonts w:ascii="宋体" w:eastAsia="宋体" w:hAnsi="宋体" w:cs="宋体" w:hint="eastAsia"/>
                <w:b/>
                <w:color w:val="000000"/>
                <w:kern w:val="0"/>
                <w:szCs w:val="21"/>
              </w:rPr>
              <w:t>楼面均价</w:t>
            </w:r>
          </w:p>
        </w:tc>
        <w:tc>
          <w:tcPr>
            <w:tcW w:w="432" w:type="pct"/>
            <w:tcBorders>
              <w:top w:val="single" w:sz="4" w:space="0" w:color="auto"/>
              <w:left w:val="nil"/>
              <w:bottom w:val="single" w:sz="4" w:space="0" w:color="auto"/>
              <w:right w:val="single" w:sz="4" w:space="0" w:color="auto"/>
            </w:tcBorders>
            <w:shd w:val="clear" w:color="000000" w:fill="D7E4BC"/>
            <w:noWrap/>
            <w:vAlign w:val="center"/>
            <w:hideMark/>
          </w:tcPr>
          <w:p w:rsidR="004B349A" w:rsidRPr="00AA56F3" w:rsidRDefault="004B349A" w:rsidP="004B349A">
            <w:pPr>
              <w:widowControl/>
              <w:jc w:val="center"/>
              <w:rPr>
                <w:rFonts w:ascii="宋体" w:eastAsia="宋体" w:hAnsi="宋体" w:cs="宋体"/>
                <w:b/>
                <w:color w:val="000000"/>
                <w:kern w:val="0"/>
                <w:szCs w:val="21"/>
              </w:rPr>
            </w:pPr>
            <w:r w:rsidRPr="00AA56F3">
              <w:rPr>
                <w:rFonts w:ascii="宋体" w:eastAsia="宋体" w:hAnsi="宋体" w:cs="宋体" w:hint="eastAsia"/>
                <w:b/>
                <w:color w:val="000000"/>
                <w:kern w:val="0"/>
                <w:szCs w:val="21"/>
              </w:rPr>
              <w:t>溢价地块</w:t>
            </w:r>
          </w:p>
        </w:tc>
        <w:tc>
          <w:tcPr>
            <w:tcW w:w="512" w:type="pct"/>
            <w:tcBorders>
              <w:top w:val="single" w:sz="4" w:space="0" w:color="auto"/>
              <w:left w:val="nil"/>
              <w:bottom w:val="single" w:sz="4" w:space="0" w:color="auto"/>
              <w:right w:val="single" w:sz="4" w:space="0" w:color="auto"/>
            </w:tcBorders>
            <w:shd w:val="clear" w:color="000000" w:fill="D7E4BC"/>
            <w:vAlign w:val="center"/>
            <w:hideMark/>
          </w:tcPr>
          <w:p w:rsidR="004B349A" w:rsidRPr="00AA56F3" w:rsidRDefault="004B349A" w:rsidP="004B349A">
            <w:pPr>
              <w:widowControl/>
              <w:jc w:val="center"/>
              <w:rPr>
                <w:rFonts w:ascii="宋体" w:eastAsia="宋体" w:hAnsi="宋体" w:cs="宋体"/>
                <w:b/>
                <w:color w:val="000000"/>
                <w:kern w:val="0"/>
                <w:szCs w:val="21"/>
              </w:rPr>
            </w:pPr>
            <w:r w:rsidRPr="00AA56F3">
              <w:rPr>
                <w:rFonts w:ascii="宋体" w:eastAsia="宋体" w:hAnsi="宋体" w:cs="宋体" w:hint="eastAsia"/>
                <w:b/>
                <w:color w:val="000000"/>
                <w:kern w:val="0"/>
                <w:szCs w:val="21"/>
              </w:rPr>
              <w:t>溢价率</w:t>
            </w:r>
          </w:p>
        </w:tc>
      </w:tr>
      <w:tr w:rsidR="008F48C6" w:rsidRPr="00AA56F3" w:rsidTr="008F48C6">
        <w:trPr>
          <w:trHeight w:val="270"/>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8F48C6" w:rsidRPr="00A8388F" w:rsidRDefault="008F48C6" w:rsidP="004B349A">
            <w:pPr>
              <w:widowControl/>
              <w:jc w:val="center"/>
              <w:rPr>
                <w:rFonts w:ascii="宋体" w:eastAsia="宋体" w:hAnsi="宋体" w:cs="宋体"/>
                <w:b/>
                <w:color w:val="000000"/>
                <w:kern w:val="0"/>
                <w:szCs w:val="21"/>
              </w:rPr>
            </w:pPr>
            <w:r w:rsidRPr="00A8388F">
              <w:rPr>
                <w:rFonts w:ascii="宋体" w:eastAsia="宋体" w:hAnsi="宋体" w:cs="宋体" w:hint="eastAsia"/>
                <w:b/>
                <w:color w:val="000000"/>
                <w:kern w:val="0"/>
                <w:szCs w:val="21"/>
              </w:rPr>
              <w:t>纯住宅</w:t>
            </w:r>
          </w:p>
        </w:tc>
        <w:tc>
          <w:tcPr>
            <w:tcW w:w="333" w:type="pct"/>
            <w:tcBorders>
              <w:top w:val="nil"/>
              <w:left w:val="nil"/>
              <w:bottom w:val="single" w:sz="4" w:space="0" w:color="auto"/>
              <w:right w:val="single" w:sz="4" w:space="0" w:color="auto"/>
            </w:tcBorders>
            <w:shd w:val="clear" w:color="auto" w:fill="auto"/>
            <w:noWrap/>
            <w:vAlign w:val="center"/>
            <w:hideMark/>
          </w:tcPr>
          <w:p w:rsidR="008F48C6" w:rsidRDefault="008F48C6">
            <w:pPr>
              <w:jc w:val="center"/>
              <w:rPr>
                <w:rFonts w:ascii="宋体" w:eastAsia="宋体" w:hAnsi="宋体" w:cs="宋体"/>
                <w:color w:val="000000"/>
                <w:sz w:val="22"/>
              </w:rPr>
            </w:pPr>
            <w:r>
              <w:rPr>
                <w:rFonts w:hint="eastAsia"/>
                <w:color w:val="000000"/>
                <w:sz w:val="22"/>
              </w:rPr>
              <w:t>2</w:t>
            </w:r>
          </w:p>
        </w:tc>
        <w:tc>
          <w:tcPr>
            <w:tcW w:w="514" w:type="pct"/>
            <w:tcBorders>
              <w:top w:val="nil"/>
              <w:left w:val="nil"/>
              <w:bottom w:val="single" w:sz="4" w:space="0" w:color="auto"/>
              <w:right w:val="single" w:sz="4" w:space="0" w:color="auto"/>
            </w:tcBorders>
            <w:shd w:val="clear" w:color="auto" w:fill="auto"/>
            <w:noWrap/>
            <w:vAlign w:val="center"/>
            <w:hideMark/>
          </w:tcPr>
          <w:p w:rsidR="008F48C6" w:rsidRDefault="008F48C6">
            <w:pPr>
              <w:jc w:val="center"/>
              <w:rPr>
                <w:rFonts w:ascii="宋体" w:eastAsia="宋体" w:hAnsi="宋体" w:cs="宋体"/>
                <w:color w:val="000000"/>
                <w:sz w:val="22"/>
              </w:rPr>
            </w:pPr>
            <w:r>
              <w:rPr>
                <w:rFonts w:hint="eastAsia"/>
                <w:color w:val="000000"/>
                <w:sz w:val="22"/>
              </w:rPr>
              <w:t>2.5</w:t>
            </w:r>
          </w:p>
        </w:tc>
        <w:tc>
          <w:tcPr>
            <w:tcW w:w="567" w:type="pct"/>
            <w:tcBorders>
              <w:top w:val="nil"/>
              <w:left w:val="nil"/>
              <w:bottom w:val="single" w:sz="4" w:space="0" w:color="auto"/>
              <w:right w:val="single" w:sz="4" w:space="0" w:color="auto"/>
            </w:tcBorders>
            <w:shd w:val="clear" w:color="auto" w:fill="auto"/>
            <w:noWrap/>
            <w:vAlign w:val="center"/>
            <w:hideMark/>
          </w:tcPr>
          <w:p w:rsidR="008F48C6" w:rsidRDefault="008F48C6">
            <w:pPr>
              <w:jc w:val="center"/>
              <w:rPr>
                <w:rFonts w:ascii="宋体" w:eastAsia="宋体" w:hAnsi="宋体" w:cs="宋体"/>
                <w:color w:val="000000"/>
                <w:sz w:val="22"/>
              </w:rPr>
            </w:pPr>
            <w:r>
              <w:rPr>
                <w:rFonts w:hint="eastAsia"/>
                <w:color w:val="000000"/>
                <w:sz w:val="22"/>
              </w:rPr>
              <w:t>7.87</w:t>
            </w:r>
          </w:p>
        </w:tc>
        <w:tc>
          <w:tcPr>
            <w:tcW w:w="582" w:type="pct"/>
            <w:tcBorders>
              <w:top w:val="nil"/>
              <w:left w:val="nil"/>
              <w:bottom w:val="single" w:sz="4" w:space="0" w:color="auto"/>
              <w:right w:val="single" w:sz="4" w:space="0" w:color="auto"/>
            </w:tcBorders>
            <w:shd w:val="clear" w:color="auto" w:fill="auto"/>
            <w:noWrap/>
            <w:vAlign w:val="bottom"/>
            <w:hideMark/>
          </w:tcPr>
          <w:p w:rsidR="008F48C6" w:rsidRDefault="008F48C6">
            <w:pPr>
              <w:jc w:val="center"/>
              <w:rPr>
                <w:rFonts w:ascii="宋体" w:eastAsia="宋体" w:hAnsi="宋体" w:cs="宋体"/>
                <w:color w:val="000000"/>
                <w:sz w:val="22"/>
              </w:rPr>
            </w:pPr>
            <w:r>
              <w:rPr>
                <w:rFonts w:hint="eastAsia"/>
                <w:color w:val="000000"/>
                <w:sz w:val="22"/>
              </w:rPr>
              <w:t xml:space="preserve">3.94 </w:t>
            </w:r>
          </w:p>
        </w:tc>
        <w:tc>
          <w:tcPr>
            <w:tcW w:w="582" w:type="pct"/>
            <w:tcBorders>
              <w:top w:val="nil"/>
              <w:left w:val="nil"/>
              <w:bottom w:val="single" w:sz="4" w:space="0" w:color="auto"/>
              <w:right w:val="single" w:sz="4" w:space="0" w:color="auto"/>
            </w:tcBorders>
            <w:shd w:val="clear" w:color="auto" w:fill="auto"/>
            <w:noWrap/>
            <w:vAlign w:val="center"/>
            <w:hideMark/>
          </w:tcPr>
          <w:p w:rsidR="008F48C6" w:rsidRDefault="008F48C6">
            <w:pPr>
              <w:jc w:val="center"/>
              <w:rPr>
                <w:rFonts w:ascii="宋体" w:eastAsia="宋体" w:hAnsi="宋体" w:cs="宋体"/>
                <w:color w:val="000000"/>
                <w:sz w:val="22"/>
              </w:rPr>
            </w:pPr>
            <w:r>
              <w:rPr>
                <w:rFonts w:hint="eastAsia"/>
                <w:color w:val="000000"/>
                <w:sz w:val="22"/>
              </w:rPr>
              <w:t>23.62</w:t>
            </w:r>
          </w:p>
        </w:tc>
        <w:tc>
          <w:tcPr>
            <w:tcW w:w="500" w:type="pct"/>
            <w:tcBorders>
              <w:top w:val="nil"/>
              <w:left w:val="nil"/>
              <w:bottom w:val="single" w:sz="4" w:space="0" w:color="auto"/>
              <w:right w:val="single" w:sz="4" w:space="0" w:color="auto"/>
            </w:tcBorders>
            <w:shd w:val="clear" w:color="auto" w:fill="auto"/>
            <w:noWrap/>
            <w:vAlign w:val="center"/>
            <w:hideMark/>
          </w:tcPr>
          <w:p w:rsidR="008F48C6" w:rsidRDefault="008F48C6">
            <w:pPr>
              <w:jc w:val="center"/>
              <w:rPr>
                <w:rFonts w:ascii="宋体" w:eastAsia="宋体" w:hAnsi="宋体" w:cs="宋体"/>
                <w:color w:val="000000"/>
                <w:sz w:val="22"/>
              </w:rPr>
            </w:pPr>
            <w:r>
              <w:rPr>
                <w:rFonts w:hint="eastAsia"/>
                <w:color w:val="000000"/>
                <w:sz w:val="22"/>
              </w:rPr>
              <w:t xml:space="preserve">3.00 </w:t>
            </w:r>
          </w:p>
        </w:tc>
        <w:tc>
          <w:tcPr>
            <w:tcW w:w="415" w:type="pct"/>
            <w:tcBorders>
              <w:top w:val="nil"/>
              <w:left w:val="nil"/>
              <w:bottom w:val="single" w:sz="4" w:space="0" w:color="auto"/>
              <w:right w:val="single" w:sz="4" w:space="0" w:color="auto"/>
            </w:tcBorders>
            <w:shd w:val="clear" w:color="auto" w:fill="auto"/>
            <w:noWrap/>
            <w:vAlign w:val="center"/>
            <w:hideMark/>
          </w:tcPr>
          <w:p w:rsidR="008F48C6" w:rsidRDefault="008F48C6">
            <w:pPr>
              <w:jc w:val="center"/>
              <w:rPr>
                <w:rFonts w:ascii="宋体" w:eastAsia="宋体" w:hAnsi="宋体" w:cs="宋体"/>
                <w:color w:val="000000"/>
                <w:sz w:val="22"/>
              </w:rPr>
            </w:pPr>
            <w:r>
              <w:rPr>
                <w:rFonts w:hint="eastAsia"/>
                <w:color w:val="000000"/>
                <w:sz w:val="22"/>
              </w:rPr>
              <w:t>1058</w:t>
            </w:r>
          </w:p>
        </w:tc>
        <w:tc>
          <w:tcPr>
            <w:tcW w:w="432" w:type="pct"/>
            <w:tcBorders>
              <w:top w:val="nil"/>
              <w:left w:val="nil"/>
              <w:bottom w:val="single" w:sz="4" w:space="0" w:color="auto"/>
              <w:right w:val="single" w:sz="4" w:space="0" w:color="auto"/>
            </w:tcBorders>
            <w:shd w:val="clear" w:color="auto" w:fill="auto"/>
            <w:noWrap/>
            <w:vAlign w:val="center"/>
            <w:hideMark/>
          </w:tcPr>
          <w:p w:rsidR="008F48C6" w:rsidRDefault="008F48C6">
            <w:pPr>
              <w:jc w:val="center"/>
              <w:rPr>
                <w:rFonts w:ascii="宋体" w:eastAsia="宋体" w:hAnsi="宋体" w:cs="宋体"/>
                <w:color w:val="000000"/>
                <w:sz w:val="22"/>
              </w:rPr>
            </w:pPr>
            <w:r>
              <w:rPr>
                <w:rFonts w:hint="eastAsia"/>
                <w:color w:val="000000"/>
                <w:sz w:val="22"/>
              </w:rPr>
              <w:t>0</w:t>
            </w:r>
          </w:p>
        </w:tc>
        <w:tc>
          <w:tcPr>
            <w:tcW w:w="512" w:type="pct"/>
            <w:tcBorders>
              <w:top w:val="nil"/>
              <w:left w:val="nil"/>
              <w:bottom w:val="single" w:sz="4" w:space="0" w:color="auto"/>
              <w:right w:val="single" w:sz="4" w:space="0" w:color="auto"/>
            </w:tcBorders>
            <w:shd w:val="clear" w:color="auto" w:fill="auto"/>
            <w:noWrap/>
            <w:vAlign w:val="center"/>
            <w:hideMark/>
          </w:tcPr>
          <w:p w:rsidR="008F48C6" w:rsidRDefault="008F48C6">
            <w:pPr>
              <w:jc w:val="center"/>
              <w:rPr>
                <w:rFonts w:ascii="宋体" w:eastAsia="宋体" w:hAnsi="宋体" w:cs="宋体"/>
                <w:color w:val="000000"/>
                <w:sz w:val="22"/>
              </w:rPr>
            </w:pPr>
            <w:r>
              <w:rPr>
                <w:rFonts w:hint="eastAsia"/>
                <w:color w:val="000000"/>
                <w:sz w:val="22"/>
              </w:rPr>
              <w:t>0.00%</w:t>
            </w:r>
          </w:p>
        </w:tc>
      </w:tr>
      <w:tr w:rsidR="008F48C6" w:rsidRPr="00AA56F3" w:rsidTr="008F48C6">
        <w:trPr>
          <w:trHeight w:val="270"/>
        </w:trPr>
        <w:tc>
          <w:tcPr>
            <w:tcW w:w="563" w:type="pct"/>
            <w:tcBorders>
              <w:top w:val="nil"/>
              <w:left w:val="single" w:sz="4" w:space="0" w:color="auto"/>
              <w:bottom w:val="single" w:sz="4" w:space="0" w:color="auto"/>
              <w:right w:val="single" w:sz="4" w:space="0" w:color="auto"/>
            </w:tcBorders>
            <w:shd w:val="clear" w:color="000000" w:fill="EAF1DD"/>
            <w:noWrap/>
            <w:vAlign w:val="center"/>
            <w:hideMark/>
          </w:tcPr>
          <w:p w:rsidR="008F48C6" w:rsidRPr="00A8388F" w:rsidRDefault="008F48C6" w:rsidP="004B349A">
            <w:pPr>
              <w:widowControl/>
              <w:jc w:val="center"/>
              <w:rPr>
                <w:rFonts w:ascii="宋体" w:eastAsia="宋体" w:hAnsi="宋体" w:cs="宋体"/>
                <w:b/>
                <w:color w:val="000000"/>
                <w:kern w:val="0"/>
                <w:szCs w:val="21"/>
              </w:rPr>
            </w:pPr>
            <w:r w:rsidRPr="00A8388F">
              <w:rPr>
                <w:rFonts w:ascii="宋体" w:eastAsia="宋体" w:hAnsi="宋体" w:cs="宋体" w:hint="eastAsia"/>
                <w:b/>
                <w:color w:val="000000"/>
                <w:kern w:val="0"/>
                <w:szCs w:val="21"/>
              </w:rPr>
              <w:t>商住</w:t>
            </w:r>
          </w:p>
        </w:tc>
        <w:tc>
          <w:tcPr>
            <w:tcW w:w="333" w:type="pct"/>
            <w:tcBorders>
              <w:top w:val="nil"/>
              <w:left w:val="nil"/>
              <w:bottom w:val="single" w:sz="4" w:space="0" w:color="auto"/>
              <w:right w:val="single" w:sz="4" w:space="0" w:color="auto"/>
            </w:tcBorders>
            <w:shd w:val="clear" w:color="000000" w:fill="EAF1DD"/>
            <w:noWrap/>
            <w:vAlign w:val="center"/>
            <w:hideMark/>
          </w:tcPr>
          <w:p w:rsidR="008F48C6" w:rsidRDefault="008F48C6">
            <w:pPr>
              <w:jc w:val="center"/>
              <w:rPr>
                <w:rFonts w:ascii="宋体" w:eastAsia="宋体" w:hAnsi="宋体" w:cs="宋体"/>
                <w:color w:val="000000"/>
                <w:sz w:val="22"/>
              </w:rPr>
            </w:pPr>
            <w:r>
              <w:rPr>
                <w:rFonts w:hint="eastAsia"/>
                <w:color w:val="000000"/>
                <w:sz w:val="22"/>
              </w:rPr>
              <w:t>0</w:t>
            </w:r>
          </w:p>
        </w:tc>
        <w:tc>
          <w:tcPr>
            <w:tcW w:w="514" w:type="pct"/>
            <w:tcBorders>
              <w:top w:val="nil"/>
              <w:left w:val="nil"/>
              <w:bottom w:val="single" w:sz="4" w:space="0" w:color="auto"/>
              <w:right w:val="single" w:sz="4" w:space="0" w:color="auto"/>
            </w:tcBorders>
            <w:shd w:val="clear" w:color="000000" w:fill="EAF1DD"/>
            <w:noWrap/>
            <w:vAlign w:val="center"/>
            <w:hideMark/>
          </w:tcPr>
          <w:p w:rsidR="008F48C6" w:rsidRDefault="008F48C6">
            <w:pPr>
              <w:jc w:val="center"/>
              <w:rPr>
                <w:rFonts w:ascii="宋体" w:eastAsia="宋体" w:hAnsi="宋体" w:cs="宋体"/>
                <w:color w:val="000000"/>
                <w:sz w:val="22"/>
              </w:rPr>
            </w:pPr>
            <w:r>
              <w:rPr>
                <w:rFonts w:hint="eastAsia"/>
                <w:color w:val="000000"/>
                <w:sz w:val="22"/>
              </w:rPr>
              <w:t>0</w:t>
            </w:r>
          </w:p>
        </w:tc>
        <w:tc>
          <w:tcPr>
            <w:tcW w:w="567" w:type="pct"/>
            <w:tcBorders>
              <w:top w:val="nil"/>
              <w:left w:val="nil"/>
              <w:bottom w:val="single" w:sz="4" w:space="0" w:color="auto"/>
              <w:right w:val="single" w:sz="4" w:space="0" w:color="auto"/>
            </w:tcBorders>
            <w:shd w:val="clear" w:color="000000" w:fill="EAF1DD"/>
            <w:noWrap/>
            <w:vAlign w:val="center"/>
            <w:hideMark/>
          </w:tcPr>
          <w:p w:rsidR="008F48C6" w:rsidRDefault="008F48C6">
            <w:pPr>
              <w:jc w:val="center"/>
              <w:rPr>
                <w:rFonts w:ascii="宋体" w:eastAsia="宋体" w:hAnsi="宋体" w:cs="宋体"/>
                <w:color w:val="000000"/>
                <w:sz w:val="22"/>
              </w:rPr>
            </w:pPr>
            <w:r>
              <w:rPr>
                <w:rFonts w:hint="eastAsia"/>
                <w:color w:val="000000"/>
                <w:sz w:val="22"/>
              </w:rPr>
              <w:t>0</w:t>
            </w:r>
          </w:p>
        </w:tc>
        <w:tc>
          <w:tcPr>
            <w:tcW w:w="582" w:type="pct"/>
            <w:tcBorders>
              <w:top w:val="nil"/>
              <w:left w:val="nil"/>
              <w:bottom w:val="single" w:sz="4" w:space="0" w:color="auto"/>
              <w:right w:val="single" w:sz="4" w:space="0" w:color="auto"/>
            </w:tcBorders>
            <w:shd w:val="clear" w:color="000000" w:fill="EAF1DD"/>
            <w:noWrap/>
            <w:vAlign w:val="bottom"/>
            <w:hideMark/>
          </w:tcPr>
          <w:p w:rsidR="008F48C6" w:rsidRDefault="008F48C6">
            <w:pPr>
              <w:jc w:val="center"/>
              <w:rPr>
                <w:rFonts w:ascii="宋体" w:eastAsia="宋体" w:hAnsi="宋体" w:cs="宋体"/>
                <w:color w:val="000000"/>
                <w:sz w:val="22"/>
              </w:rPr>
            </w:pPr>
            <w:r>
              <w:rPr>
                <w:rFonts w:hint="eastAsia"/>
                <w:color w:val="000000"/>
                <w:sz w:val="22"/>
              </w:rPr>
              <w:t xml:space="preserve">0.00 </w:t>
            </w:r>
          </w:p>
        </w:tc>
        <w:tc>
          <w:tcPr>
            <w:tcW w:w="582" w:type="pct"/>
            <w:tcBorders>
              <w:top w:val="nil"/>
              <w:left w:val="nil"/>
              <w:bottom w:val="single" w:sz="4" w:space="0" w:color="auto"/>
              <w:right w:val="single" w:sz="4" w:space="0" w:color="auto"/>
            </w:tcBorders>
            <w:shd w:val="clear" w:color="000000" w:fill="EAF1DD"/>
            <w:noWrap/>
            <w:vAlign w:val="center"/>
            <w:hideMark/>
          </w:tcPr>
          <w:p w:rsidR="008F48C6" w:rsidRDefault="008F48C6">
            <w:pPr>
              <w:jc w:val="center"/>
              <w:rPr>
                <w:rFonts w:ascii="宋体" w:eastAsia="宋体" w:hAnsi="宋体" w:cs="宋体"/>
                <w:color w:val="000000"/>
                <w:sz w:val="22"/>
              </w:rPr>
            </w:pPr>
            <w:r>
              <w:rPr>
                <w:rFonts w:hint="eastAsia"/>
                <w:color w:val="000000"/>
                <w:sz w:val="22"/>
              </w:rPr>
              <w:t>0</w:t>
            </w:r>
          </w:p>
        </w:tc>
        <w:tc>
          <w:tcPr>
            <w:tcW w:w="500" w:type="pct"/>
            <w:tcBorders>
              <w:top w:val="nil"/>
              <w:left w:val="nil"/>
              <w:bottom w:val="single" w:sz="4" w:space="0" w:color="auto"/>
              <w:right w:val="single" w:sz="4" w:space="0" w:color="auto"/>
            </w:tcBorders>
            <w:shd w:val="clear" w:color="000000" w:fill="EAF1DD"/>
            <w:noWrap/>
            <w:vAlign w:val="center"/>
            <w:hideMark/>
          </w:tcPr>
          <w:p w:rsidR="008F48C6" w:rsidRDefault="008F48C6">
            <w:pPr>
              <w:jc w:val="center"/>
              <w:rPr>
                <w:rFonts w:ascii="宋体" w:eastAsia="宋体" w:hAnsi="宋体" w:cs="宋体"/>
                <w:color w:val="000000"/>
                <w:sz w:val="22"/>
              </w:rPr>
            </w:pPr>
            <w:r>
              <w:rPr>
                <w:rFonts w:hint="eastAsia"/>
                <w:color w:val="000000"/>
                <w:sz w:val="22"/>
              </w:rPr>
              <w:t xml:space="preserve">0.00 </w:t>
            </w:r>
          </w:p>
        </w:tc>
        <w:tc>
          <w:tcPr>
            <w:tcW w:w="415" w:type="pct"/>
            <w:tcBorders>
              <w:top w:val="nil"/>
              <w:left w:val="nil"/>
              <w:bottom w:val="single" w:sz="4" w:space="0" w:color="auto"/>
              <w:right w:val="single" w:sz="4" w:space="0" w:color="auto"/>
            </w:tcBorders>
            <w:shd w:val="clear" w:color="000000" w:fill="EAF1DD"/>
            <w:noWrap/>
            <w:vAlign w:val="center"/>
            <w:hideMark/>
          </w:tcPr>
          <w:p w:rsidR="008F48C6" w:rsidRDefault="008F48C6">
            <w:pPr>
              <w:jc w:val="center"/>
              <w:rPr>
                <w:rFonts w:ascii="宋体" w:eastAsia="宋体" w:hAnsi="宋体" w:cs="宋体"/>
                <w:color w:val="000000"/>
                <w:sz w:val="22"/>
              </w:rPr>
            </w:pPr>
            <w:r>
              <w:rPr>
                <w:rFonts w:hint="eastAsia"/>
                <w:color w:val="000000"/>
                <w:sz w:val="22"/>
              </w:rPr>
              <w:t>0</w:t>
            </w:r>
          </w:p>
        </w:tc>
        <w:tc>
          <w:tcPr>
            <w:tcW w:w="432" w:type="pct"/>
            <w:tcBorders>
              <w:top w:val="nil"/>
              <w:left w:val="nil"/>
              <w:bottom w:val="single" w:sz="4" w:space="0" w:color="auto"/>
              <w:right w:val="single" w:sz="4" w:space="0" w:color="auto"/>
            </w:tcBorders>
            <w:shd w:val="clear" w:color="000000" w:fill="EAF1DD"/>
            <w:noWrap/>
            <w:vAlign w:val="center"/>
            <w:hideMark/>
          </w:tcPr>
          <w:p w:rsidR="008F48C6" w:rsidRDefault="008F48C6">
            <w:pPr>
              <w:jc w:val="center"/>
              <w:rPr>
                <w:rFonts w:ascii="宋体" w:eastAsia="宋体" w:hAnsi="宋体" w:cs="宋体"/>
                <w:color w:val="000000"/>
                <w:sz w:val="22"/>
              </w:rPr>
            </w:pPr>
            <w:r>
              <w:rPr>
                <w:rFonts w:hint="eastAsia"/>
                <w:color w:val="000000"/>
                <w:sz w:val="22"/>
              </w:rPr>
              <w:t>0</w:t>
            </w:r>
          </w:p>
        </w:tc>
        <w:tc>
          <w:tcPr>
            <w:tcW w:w="512" w:type="pct"/>
            <w:tcBorders>
              <w:top w:val="nil"/>
              <w:left w:val="nil"/>
              <w:bottom w:val="single" w:sz="4" w:space="0" w:color="auto"/>
              <w:right w:val="single" w:sz="4" w:space="0" w:color="auto"/>
            </w:tcBorders>
            <w:shd w:val="clear" w:color="000000" w:fill="EAF1DD"/>
            <w:noWrap/>
            <w:vAlign w:val="center"/>
            <w:hideMark/>
          </w:tcPr>
          <w:p w:rsidR="008F48C6" w:rsidRDefault="008F48C6">
            <w:pPr>
              <w:jc w:val="center"/>
              <w:rPr>
                <w:rFonts w:ascii="宋体" w:eastAsia="宋体" w:hAnsi="宋体" w:cs="宋体"/>
                <w:color w:val="000000"/>
                <w:sz w:val="22"/>
              </w:rPr>
            </w:pPr>
            <w:r>
              <w:rPr>
                <w:rFonts w:hint="eastAsia"/>
                <w:color w:val="000000"/>
                <w:sz w:val="22"/>
              </w:rPr>
              <w:t>0.00%</w:t>
            </w:r>
          </w:p>
        </w:tc>
      </w:tr>
      <w:tr w:rsidR="008F48C6" w:rsidRPr="00AA56F3" w:rsidTr="008F48C6">
        <w:trPr>
          <w:trHeight w:val="270"/>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8F48C6" w:rsidRPr="00A8388F" w:rsidRDefault="008F48C6" w:rsidP="004B349A">
            <w:pPr>
              <w:widowControl/>
              <w:jc w:val="center"/>
              <w:rPr>
                <w:rFonts w:ascii="宋体" w:eastAsia="宋体" w:hAnsi="宋体" w:cs="宋体"/>
                <w:b/>
                <w:color w:val="000000"/>
                <w:kern w:val="0"/>
                <w:szCs w:val="21"/>
              </w:rPr>
            </w:pPr>
            <w:r w:rsidRPr="00A8388F">
              <w:rPr>
                <w:rFonts w:ascii="宋体" w:eastAsia="宋体" w:hAnsi="宋体" w:cs="宋体" w:hint="eastAsia"/>
                <w:b/>
                <w:color w:val="000000"/>
                <w:kern w:val="0"/>
                <w:szCs w:val="21"/>
              </w:rPr>
              <w:t>商服</w:t>
            </w:r>
          </w:p>
        </w:tc>
        <w:tc>
          <w:tcPr>
            <w:tcW w:w="333" w:type="pct"/>
            <w:tcBorders>
              <w:top w:val="nil"/>
              <w:left w:val="nil"/>
              <w:bottom w:val="single" w:sz="4" w:space="0" w:color="auto"/>
              <w:right w:val="single" w:sz="4" w:space="0" w:color="auto"/>
            </w:tcBorders>
            <w:shd w:val="clear" w:color="auto" w:fill="auto"/>
            <w:noWrap/>
            <w:vAlign w:val="center"/>
            <w:hideMark/>
          </w:tcPr>
          <w:p w:rsidR="008F48C6" w:rsidRDefault="008F48C6">
            <w:pPr>
              <w:jc w:val="center"/>
              <w:rPr>
                <w:rFonts w:ascii="宋体" w:eastAsia="宋体" w:hAnsi="宋体" w:cs="宋体"/>
                <w:color w:val="000000"/>
                <w:sz w:val="22"/>
              </w:rPr>
            </w:pPr>
            <w:r>
              <w:rPr>
                <w:rFonts w:hint="eastAsia"/>
                <w:color w:val="000000"/>
                <w:sz w:val="22"/>
              </w:rPr>
              <w:t>2</w:t>
            </w:r>
          </w:p>
        </w:tc>
        <w:tc>
          <w:tcPr>
            <w:tcW w:w="514" w:type="pct"/>
            <w:tcBorders>
              <w:top w:val="nil"/>
              <w:left w:val="nil"/>
              <w:bottom w:val="single" w:sz="4" w:space="0" w:color="auto"/>
              <w:right w:val="single" w:sz="4" w:space="0" w:color="auto"/>
            </w:tcBorders>
            <w:shd w:val="clear" w:color="auto" w:fill="auto"/>
            <w:noWrap/>
            <w:vAlign w:val="bottom"/>
            <w:hideMark/>
          </w:tcPr>
          <w:p w:rsidR="008F48C6" w:rsidRDefault="008F48C6">
            <w:pPr>
              <w:jc w:val="center"/>
              <w:rPr>
                <w:rFonts w:ascii="宋体" w:eastAsia="宋体" w:hAnsi="宋体" w:cs="宋体"/>
                <w:color w:val="000000"/>
                <w:sz w:val="22"/>
              </w:rPr>
            </w:pPr>
            <w:r>
              <w:rPr>
                <w:rFonts w:hint="eastAsia"/>
                <w:color w:val="000000"/>
                <w:sz w:val="22"/>
              </w:rPr>
              <w:t>5.07</w:t>
            </w:r>
          </w:p>
        </w:tc>
        <w:tc>
          <w:tcPr>
            <w:tcW w:w="567" w:type="pct"/>
            <w:tcBorders>
              <w:top w:val="nil"/>
              <w:left w:val="nil"/>
              <w:bottom w:val="single" w:sz="4" w:space="0" w:color="auto"/>
              <w:right w:val="single" w:sz="4" w:space="0" w:color="auto"/>
            </w:tcBorders>
            <w:shd w:val="clear" w:color="auto" w:fill="auto"/>
            <w:noWrap/>
            <w:vAlign w:val="bottom"/>
            <w:hideMark/>
          </w:tcPr>
          <w:p w:rsidR="008F48C6" w:rsidRDefault="008F48C6">
            <w:pPr>
              <w:jc w:val="center"/>
              <w:rPr>
                <w:rFonts w:ascii="宋体" w:eastAsia="宋体" w:hAnsi="宋体" w:cs="宋体"/>
                <w:color w:val="000000"/>
                <w:sz w:val="22"/>
              </w:rPr>
            </w:pPr>
            <w:r>
              <w:rPr>
                <w:rFonts w:hint="eastAsia"/>
                <w:color w:val="000000"/>
                <w:sz w:val="22"/>
              </w:rPr>
              <w:t>3.4</w:t>
            </w:r>
          </w:p>
        </w:tc>
        <w:tc>
          <w:tcPr>
            <w:tcW w:w="582" w:type="pct"/>
            <w:tcBorders>
              <w:top w:val="nil"/>
              <w:left w:val="nil"/>
              <w:bottom w:val="single" w:sz="4" w:space="0" w:color="auto"/>
              <w:right w:val="single" w:sz="4" w:space="0" w:color="auto"/>
            </w:tcBorders>
            <w:shd w:val="clear" w:color="auto" w:fill="auto"/>
            <w:noWrap/>
            <w:vAlign w:val="bottom"/>
            <w:hideMark/>
          </w:tcPr>
          <w:p w:rsidR="008F48C6" w:rsidRDefault="008F48C6">
            <w:pPr>
              <w:jc w:val="center"/>
              <w:rPr>
                <w:rFonts w:ascii="宋体" w:eastAsia="宋体" w:hAnsi="宋体" w:cs="宋体"/>
                <w:color w:val="000000"/>
                <w:sz w:val="22"/>
              </w:rPr>
            </w:pPr>
            <w:r>
              <w:rPr>
                <w:rFonts w:hint="eastAsia"/>
                <w:color w:val="000000"/>
                <w:sz w:val="22"/>
              </w:rPr>
              <w:t xml:space="preserve">1.70 </w:t>
            </w:r>
          </w:p>
        </w:tc>
        <w:tc>
          <w:tcPr>
            <w:tcW w:w="582" w:type="pct"/>
            <w:tcBorders>
              <w:top w:val="nil"/>
              <w:left w:val="nil"/>
              <w:bottom w:val="single" w:sz="4" w:space="0" w:color="auto"/>
              <w:right w:val="single" w:sz="4" w:space="0" w:color="auto"/>
            </w:tcBorders>
            <w:shd w:val="clear" w:color="auto" w:fill="auto"/>
            <w:noWrap/>
            <w:vAlign w:val="bottom"/>
            <w:hideMark/>
          </w:tcPr>
          <w:p w:rsidR="008F48C6" w:rsidRDefault="008F48C6">
            <w:pPr>
              <w:jc w:val="center"/>
              <w:rPr>
                <w:rFonts w:ascii="宋体" w:eastAsia="宋体" w:hAnsi="宋体" w:cs="宋体"/>
                <w:color w:val="000000"/>
                <w:sz w:val="22"/>
              </w:rPr>
            </w:pPr>
            <w:r>
              <w:rPr>
                <w:rFonts w:hint="eastAsia"/>
                <w:color w:val="000000"/>
                <w:sz w:val="22"/>
              </w:rPr>
              <w:t>9</w:t>
            </w:r>
          </w:p>
        </w:tc>
        <w:tc>
          <w:tcPr>
            <w:tcW w:w="500" w:type="pct"/>
            <w:tcBorders>
              <w:top w:val="nil"/>
              <w:left w:val="nil"/>
              <w:bottom w:val="single" w:sz="4" w:space="0" w:color="auto"/>
              <w:right w:val="single" w:sz="4" w:space="0" w:color="auto"/>
            </w:tcBorders>
            <w:shd w:val="clear" w:color="auto" w:fill="auto"/>
            <w:noWrap/>
            <w:vAlign w:val="center"/>
            <w:hideMark/>
          </w:tcPr>
          <w:p w:rsidR="008F48C6" w:rsidRDefault="008F48C6">
            <w:pPr>
              <w:jc w:val="center"/>
              <w:rPr>
                <w:rFonts w:ascii="宋体" w:eastAsia="宋体" w:hAnsi="宋体" w:cs="宋体"/>
                <w:color w:val="000000"/>
                <w:sz w:val="22"/>
              </w:rPr>
            </w:pPr>
            <w:r>
              <w:rPr>
                <w:rFonts w:hint="eastAsia"/>
                <w:color w:val="000000"/>
                <w:sz w:val="22"/>
              </w:rPr>
              <w:t xml:space="preserve">2.65 </w:t>
            </w:r>
          </w:p>
        </w:tc>
        <w:tc>
          <w:tcPr>
            <w:tcW w:w="415" w:type="pct"/>
            <w:tcBorders>
              <w:top w:val="nil"/>
              <w:left w:val="nil"/>
              <w:bottom w:val="single" w:sz="4" w:space="0" w:color="auto"/>
              <w:right w:val="single" w:sz="4" w:space="0" w:color="auto"/>
            </w:tcBorders>
            <w:shd w:val="clear" w:color="auto" w:fill="auto"/>
            <w:noWrap/>
            <w:vAlign w:val="center"/>
            <w:hideMark/>
          </w:tcPr>
          <w:p w:rsidR="008F48C6" w:rsidRDefault="008F48C6">
            <w:pPr>
              <w:jc w:val="center"/>
              <w:rPr>
                <w:rFonts w:ascii="宋体" w:eastAsia="宋体" w:hAnsi="宋体" w:cs="宋体"/>
                <w:color w:val="000000"/>
                <w:sz w:val="22"/>
              </w:rPr>
            </w:pPr>
            <w:r>
              <w:rPr>
                <w:rFonts w:hint="eastAsia"/>
                <w:color w:val="000000"/>
                <w:sz w:val="22"/>
              </w:rPr>
              <w:t>5633</w:t>
            </w:r>
          </w:p>
        </w:tc>
        <w:tc>
          <w:tcPr>
            <w:tcW w:w="432" w:type="pct"/>
            <w:tcBorders>
              <w:top w:val="nil"/>
              <w:left w:val="nil"/>
              <w:bottom w:val="single" w:sz="4" w:space="0" w:color="auto"/>
              <w:right w:val="single" w:sz="4" w:space="0" w:color="auto"/>
            </w:tcBorders>
            <w:shd w:val="clear" w:color="auto" w:fill="auto"/>
            <w:noWrap/>
            <w:vAlign w:val="center"/>
            <w:hideMark/>
          </w:tcPr>
          <w:p w:rsidR="008F48C6" w:rsidRDefault="008F48C6">
            <w:pPr>
              <w:jc w:val="center"/>
              <w:rPr>
                <w:rFonts w:ascii="宋体" w:eastAsia="宋体" w:hAnsi="宋体" w:cs="宋体"/>
                <w:color w:val="000000"/>
                <w:sz w:val="22"/>
              </w:rPr>
            </w:pPr>
            <w:r>
              <w:rPr>
                <w:rFonts w:hint="eastAsia"/>
                <w:color w:val="000000"/>
                <w:sz w:val="22"/>
              </w:rPr>
              <w:t>0</w:t>
            </w:r>
          </w:p>
        </w:tc>
        <w:tc>
          <w:tcPr>
            <w:tcW w:w="512" w:type="pct"/>
            <w:tcBorders>
              <w:top w:val="nil"/>
              <w:left w:val="nil"/>
              <w:bottom w:val="single" w:sz="4" w:space="0" w:color="auto"/>
              <w:right w:val="single" w:sz="4" w:space="0" w:color="auto"/>
            </w:tcBorders>
            <w:shd w:val="clear" w:color="auto" w:fill="auto"/>
            <w:noWrap/>
            <w:vAlign w:val="center"/>
            <w:hideMark/>
          </w:tcPr>
          <w:p w:rsidR="008F48C6" w:rsidRDefault="008F48C6">
            <w:pPr>
              <w:jc w:val="center"/>
              <w:rPr>
                <w:rFonts w:ascii="宋体" w:eastAsia="宋体" w:hAnsi="宋体" w:cs="宋体"/>
                <w:color w:val="000000"/>
                <w:sz w:val="22"/>
              </w:rPr>
            </w:pPr>
            <w:r>
              <w:rPr>
                <w:rFonts w:hint="eastAsia"/>
                <w:color w:val="000000"/>
                <w:sz w:val="22"/>
              </w:rPr>
              <w:t>0.00%</w:t>
            </w:r>
          </w:p>
        </w:tc>
      </w:tr>
      <w:tr w:rsidR="008F48C6" w:rsidRPr="00AA56F3" w:rsidTr="008F48C6">
        <w:trPr>
          <w:trHeight w:val="270"/>
        </w:trPr>
        <w:tc>
          <w:tcPr>
            <w:tcW w:w="563" w:type="pct"/>
            <w:tcBorders>
              <w:top w:val="nil"/>
              <w:left w:val="single" w:sz="4" w:space="0" w:color="auto"/>
              <w:bottom w:val="single" w:sz="4" w:space="0" w:color="auto"/>
              <w:right w:val="single" w:sz="4" w:space="0" w:color="auto"/>
            </w:tcBorders>
            <w:shd w:val="clear" w:color="000000" w:fill="EAF1DD"/>
            <w:noWrap/>
            <w:vAlign w:val="center"/>
            <w:hideMark/>
          </w:tcPr>
          <w:p w:rsidR="008F48C6" w:rsidRPr="00A8388F" w:rsidRDefault="008F48C6" w:rsidP="004B349A">
            <w:pPr>
              <w:widowControl/>
              <w:jc w:val="center"/>
              <w:rPr>
                <w:rFonts w:ascii="宋体" w:eastAsia="宋体" w:hAnsi="宋体" w:cs="宋体"/>
                <w:b/>
                <w:color w:val="000000"/>
                <w:kern w:val="0"/>
                <w:szCs w:val="21"/>
              </w:rPr>
            </w:pPr>
            <w:r w:rsidRPr="00A8388F">
              <w:rPr>
                <w:rFonts w:ascii="宋体" w:eastAsia="宋体" w:hAnsi="宋体" w:cs="宋体" w:hint="eastAsia"/>
                <w:b/>
                <w:color w:val="000000"/>
                <w:kern w:val="0"/>
                <w:szCs w:val="21"/>
              </w:rPr>
              <w:t>总计</w:t>
            </w:r>
          </w:p>
        </w:tc>
        <w:tc>
          <w:tcPr>
            <w:tcW w:w="333" w:type="pct"/>
            <w:tcBorders>
              <w:top w:val="nil"/>
              <w:left w:val="nil"/>
              <w:bottom w:val="single" w:sz="4" w:space="0" w:color="auto"/>
              <w:right w:val="single" w:sz="4" w:space="0" w:color="auto"/>
            </w:tcBorders>
            <w:shd w:val="clear" w:color="000000" w:fill="EAF1DD"/>
            <w:noWrap/>
            <w:vAlign w:val="center"/>
            <w:hideMark/>
          </w:tcPr>
          <w:p w:rsidR="008F48C6" w:rsidRDefault="008F48C6">
            <w:pPr>
              <w:jc w:val="center"/>
              <w:rPr>
                <w:rFonts w:ascii="宋体" w:eastAsia="宋体" w:hAnsi="宋体" w:cs="宋体"/>
                <w:color w:val="000000"/>
                <w:sz w:val="22"/>
              </w:rPr>
            </w:pPr>
            <w:r>
              <w:rPr>
                <w:rFonts w:hint="eastAsia"/>
                <w:color w:val="000000"/>
                <w:sz w:val="22"/>
              </w:rPr>
              <w:t>4</w:t>
            </w:r>
          </w:p>
        </w:tc>
        <w:tc>
          <w:tcPr>
            <w:tcW w:w="514" w:type="pct"/>
            <w:tcBorders>
              <w:top w:val="nil"/>
              <w:left w:val="nil"/>
              <w:bottom w:val="single" w:sz="4" w:space="0" w:color="auto"/>
              <w:right w:val="single" w:sz="4" w:space="0" w:color="auto"/>
            </w:tcBorders>
            <w:shd w:val="clear" w:color="000000" w:fill="EAF1DD"/>
            <w:noWrap/>
            <w:vAlign w:val="center"/>
            <w:hideMark/>
          </w:tcPr>
          <w:p w:rsidR="008F48C6" w:rsidRDefault="008F48C6">
            <w:pPr>
              <w:jc w:val="center"/>
              <w:rPr>
                <w:rFonts w:ascii="宋体" w:eastAsia="宋体" w:hAnsi="宋体" w:cs="宋体"/>
                <w:color w:val="000000"/>
                <w:sz w:val="22"/>
              </w:rPr>
            </w:pPr>
            <w:r>
              <w:rPr>
                <w:rFonts w:hint="eastAsia"/>
                <w:color w:val="000000"/>
                <w:sz w:val="22"/>
              </w:rPr>
              <w:t>7.57</w:t>
            </w:r>
          </w:p>
        </w:tc>
        <w:tc>
          <w:tcPr>
            <w:tcW w:w="567" w:type="pct"/>
            <w:tcBorders>
              <w:top w:val="nil"/>
              <w:left w:val="nil"/>
              <w:bottom w:val="single" w:sz="4" w:space="0" w:color="auto"/>
              <w:right w:val="single" w:sz="4" w:space="0" w:color="auto"/>
            </w:tcBorders>
            <w:shd w:val="clear" w:color="000000" w:fill="EAF1DD"/>
            <w:noWrap/>
            <w:vAlign w:val="center"/>
            <w:hideMark/>
          </w:tcPr>
          <w:p w:rsidR="008F48C6" w:rsidRDefault="008F48C6">
            <w:pPr>
              <w:jc w:val="center"/>
              <w:rPr>
                <w:rFonts w:ascii="宋体" w:eastAsia="宋体" w:hAnsi="宋体" w:cs="宋体"/>
                <w:color w:val="000000"/>
                <w:sz w:val="22"/>
              </w:rPr>
            </w:pPr>
            <w:r>
              <w:rPr>
                <w:rFonts w:hint="eastAsia"/>
                <w:color w:val="000000"/>
                <w:sz w:val="22"/>
              </w:rPr>
              <w:t>11.27</w:t>
            </w:r>
          </w:p>
        </w:tc>
        <w:tc>
          <w:tcPr>
            <w:tcW w:w="582" w:type="pct"/>
            <w:tcBorders>
              <w:top w:val="nil"/>
              <w:left w:val="nil"/>
              <w:bottom w:val="single" w:sz="4" w:space="0" w:color="auto"/>
              <w:right w:val="single" w:sz="4" w:space="0" w:color="auto"/>
            </w:tcBorders>
            <w:shd w:val="clear" w:color="000000" w:fill="EAF1DD"/>
            <w:noWrap/>
            <w:vAlign w:val="bottom"/>
            <w:hideMark/>
          </w:tcPr>
          <w:p w:rsidR="008F48C6" w:rsidRDefault="008F48C6">
            <w:pPr>
              <w:jc w:val="center"/>
              <w:rPr>
                <w:rFonts w:ascii="宋体" w:eastAsia="宋体" w:hAnsi="宋体" w:cs="宋体"/>
                <w:color w:val="000000"/>
                <w:sz w:val="22"/>
              </w:rPr>
            </w:pPr>
            <w:r>
              <w:rPr>
                <w:rFonts w:hint="eastAsia"/>
                <w:color w:val="000000"/>
                <w:sz w:val="22"/>
              </w:rPr>
              <w:t xml:space="preserve">2.82 </w:t>
            </w:r>
          </w:p>
        </w:tc>
        <w:tc>
          <w:tcPr>
            <w:tcW w:w="582" w:type="pct"/>
            <w:tcBorders>
              <w:top w:val="nil"/>
              <w:left w:val="nil"/>
              <w:bottom w:val="single" w:sz="4" w:space="0" w:color="auto"/>
              <w:right w:val="single" w:sz="4" w:space="0" w:color="auto"/>
            </w:tcBorders>
            <w:shd w:val="clear" w:color="000000" w:fill="EAF1DD"/>
            <w:noWrap/>
            <w:vAlign w:val="center"/>
            <w:hideMark/>
          </w:tcPr>
          <w:p w:rsidR="008F48C6" w:rsidRDefault="008F48C6">
            <w:pPr>
              <w:jc w:val="center"/>
              <w:rPr>
                <w:rFonts w:ascii="宋体" w:eastAsia="宋体" w:hAnsi="宋体" w:cs="宋体"/>
                <w:color w:val="000000"/>
                <w:sz w:val="22"/>
              </w:rPr>
            </w:pPr>
            <w:r>
              <w:rPr>
                <w:rFonts w:hint="eastAsia"/>
                <w:color w:val="000000"/>
                <w:sz w:val="22"/>
              </w:rPr>
              <w:t>32.62</w:t>
            </w:r>
          </w:p>
        </w:tc>
        <w:tc>
          <w:tcPr>
            <w:tcW w:w="500" w:type="pct"/>
            <w:tcBorders>
              <w:top w:val="nil"/>
              <w:left w:val="nil"/>
              <w:bottom w:val="single" w:sz="4" w:space="0" w:color="auto"/>
              <w:right w:val="single" w:sz="4" w:space="0" w:color="auto"/>
            </w:tcBorders>
            <w:shd w:val="clear" w:color="000000" w:fill="EAF1DD"/>
            <w:noWrap/>
            <w:vAlign w:val="center"/>
            <w:hideMark/>
          </w:tcPr>
          <w:p w:rsidR="008F48C6" w:rsidRDefault="008F48C6">
            <w:pPr>
              <w:jc w:val="center"/>
              <w:rPr>
                <w:rFonts w:ascii="宋体" w:eastAsia="宋体" w:hAnsi="宋体" w:cs="宋体"/>
                <w:color w:val="000000"/>
                <w:sz w:val="22"/>
              </w:rPr>
            </w:pPr>
            <w:r>
              <w:rPr>
                <w:rFonts w:hint="eastAsia"/>
                <w:color w:val="000000"/>
                <w:sz w:val="22"/>
              </w:rPr>
              <w:t xml:space="preserve">2.89 </w:t>
            </w:r>
          </w:p>
        </w:tc>
        <w:tc>
          <w:tcPr>
            <w:tcW w:w="415" w:type="pct"/>
            <w:tcBorders>
              <w:top w:val="nil"/>
              <w:left w:val="nil"/>
              <w:bottom w:val="single" w:sz="4" w:space="0" w:color="auto"/>
              <w:right w:val="single" w:sz="4" w:space="0" w:color="auto"/>
            </w:tcBorders>
            <w:shd w:val="clear" w:color="000000" w:fill="EAF1DD"/>
            <w:noWrap/>
            <w:vAlign w:val="center"/>
            <w:hideMark/>
          </w:tcPr>
          <w:p w:rsidR="008F48C6" w:rsidRDefault="008F48C6">
            <w:pPr>
              <w:jc w:val="center"/>
              <w:rPr>
                <w:rFonts w:ascii="宋体" w:eastAsia="宋体" w:hAnsi="宋体" w:cs="宋体"/>
                <w:color w:val="000000"/>
                <w:sz w:val="22"/>
              </w:rPr>
            </w:pPr>
            <w:r>
              <w:rPr>
                <w:rFonts w:hint="eastAsia"/>
                <w:color w:val="000000"/>
                <w:sz w:val="22"/>
              </w:rPr>
              <w:t>2320</w:t>
            </w:r>
          </w:p>
        </w:tc>
        <w:tc>
          <w:tcPr>
            <w:tcW w:w="432" w:type="pct"/>
            <w:tcBorders>
              <w:top w:val="nil"/>
              <w:left w:val="nil"/>
              <w:bottom w:val="single" w:sz="4" w:space="0" w:color="auto"/>
              <w:right w:val="single" w:sz="4" w:space="0" w:color="auto"/>
            </w:tcBorders>
            <w:shd w:val="clear" w:color="000000" w:fill="EAF1DD"/>
            <w:noWrap/>
            <w:vAlign w:val="center"/>
            <w:hideMark/>
          </w:tcPr>
          <w:p w:rsidR="008F48C6" w:rsidRDefault="008F48C6">
            <w:pPr>
              <w:jc w:val="center"/>
              <w:rPr>
                <w:rFonts w:ascii="宋体" w:eastAsia="宋体" w:hAnsi="宋体" w:cs="宋体"/>
                <w:color w:val="000000"/>
                <w:sz w:val="22"/>
              </w:rPr>
            </w:pPr>
            <w:r>
              <w:rPr>
                <w:rFonts w:hint="eastAsia"/>
                <w:color w:val="000000"/>
                <w:sz w:val="22"/>
              </w:rPr>
              <w:t>0</w:t>
            </w:r>
          </w:p>
        </w:tc>
        <w:tc>
          <w:tcPr>
            <w:tcW w:w="512" w:type="pct"/>
            <w:tcBorders>
              <w:top w:val="nil"/>
              <w:left w:val="nil"/>
              <w:bottom w:val="single" w:sz="4" w:space="0" w:color="auto"/>
              <w:right w:val="single" w:sz="4" w:space="0" w:color="auto"/>
            </w:tcBorders>
            <w:shd w:val="clear" w:color="000000" w:fill="EAF1DD"/>
            <w:noWrap/>
            <w:vAlign w:val="center"/>
            <w:hideMark/>
          </w:tcPr>
          <w:p w:rsidR="008F48C6" w:rsidRDefault="008F48C6">
            <w:pPr>
              <w:jc w:val="center"/>
              <w:rPr>
                <w:rFonts w:ascii="宋体" w:eastAsia="宋体" w:hAnsi="宋体" w:cs="宋体"/>
                <w:color w:val="000000"/>
                <w:sz w:val="22"/>
              </w:rPr>
            </w:pPr>
            <w:r>
              <w:rPr>
                <w:rFonts w:hint="eastAsia"/>
                <w:color w:val="000000"/>
                <w:sz w:val="22"/>
              </w:rPr>
              <w:t>0.00%</w:t>
            </w:r>
          </w:p>
        </w:tc>
      </w:tr>
    </w:tbl>
    <w:p w:rsidR="00AA56F3" w:rsidRDefault="006D5EE3" w:rsidP="0086328F">
      <w:pPr>
        <w:spacing w:beforeLines="100" w:before="312" w:line="360" w:lineRule="auto"/>
        <w:jc w:val="left"/>
        <w:rPr>
          <w:rFonts w:asciiTheme="minorEastAsia" w:hAnsiTheme="minorEastAsia"/>
          <w:b/>
          <w:sz w:val="24"/>
          <w:szCs w:val="24"/>
        </w:rPr>
      </w:pPr>
      <w:r w:rsidRPr="00DB29BF">
        <w:rPr>
          <w:rFonts w:asciiTheme="minorEastAsia" w:hAnsiTheme="minorEastAsia" w:hint="eastAsia"/>
          <w:b/>
          <w:color w:val="FF0000"/>
          <w:sz w:val="24"/>
          <w:szCs w:val="24"/>
          <w:vertAlign w:val="superscript"/>
        </w:rPr>
        <w:t>×</w:t>
      </w:r>
      <w:r w:rsidRPr="00CE1ACD">
        <w:rPr>
          <w:rFonts w:asciiTheme="minorEastAsia" w:hAnsiTheme="minorEastAsia" w:hint="eastAsia"/>
          <w:b/>
          <w:sz w:val="24"/>
          <w:szCs w:val="24"/>
        </w:rPr>
        <w:t>(</w:t>
      </w:r>
      <w:r w:rsidR="00BF46C0">
        <w:rPr>
          <w:rFonts w:asciiTheme="minorEastAsia" w:hAnsiTheme="minorEastAsia" w:hint="eastAsia"/>
          <w:b/>
          <w:sz w:val="24"/>
          <w:szCs w:val="24"/>
        </w:rPr>
        <w:t>四</w:t>
      </w:r>
      <w:r w:rsidRPr="00CE1ACD">
        <w:rPr>
          <w:rFonts w:asciiTheme="minorEastAsia" w:hAnsiTheme="minorEastAsia" w:hint="eastAsia"/>
          <w:b/>
          <w:sz w:val="24"/>
          <w:szCs w:val="24"/>
        </w:rPr>
        <w:t>)</w:t>
      </w:r>
      <w:r w:rsidR="00BF46C0">
        <w:rPr>
          <w:rFonts w:asciiTheme="minorEastAsia" w:hAnsiTheme="minorEastAsia" w:hint="eastAsia"/>
          <w:b/>
          <w:sz w:val="24"/>
          <w:szCs w:val="24"/>
        </w:rPr>
        <w:t>常州</w:t>
      </w:r>
    </w:p>
    <w:p w:rsidR="00AA56F3" w:rsidRDefault="00AA56F3" w:rsidP="00AA56F3">
      <w:pPr>
        <w:spacing w:line="360" w:lineRule="auto"/>
        <w:ind w:firstLineChars="200" w:firstLine="480"/>
        <w:jc w:val="left"/>
        <w:rPr>
          <w:rFonts w:asciiTheme="minorEastAsia" w:hAnsiTheme="minorEastAsia"/>
          <w:sz w:val="24"/>
          <w:szCs w:val="24"/>
        </w:rPr>
      </w:pPr>
      <w:r w:rsidRPr="00225C00">
        <w:rPr>
          <w:rFonts w:asciiTheme="minorEastAsia" w:hAnsiTheme="minorEastAsia" w:hint="eastAsia"/>
          <w:sz w:val="24"/>
          <w:szCs w:val="24"/>
        </w:rPr>
        <w:t>2015</w:t>
      </w:r>
      <w:r w:rsidR="001A39EA">
        <w:rPr>
          <w:rFonts w:asciiTheme="minorEastAsia" w:hAnsiTheme="minorEastAsia" w:hint="eastAsia"/>
          <w:sz w:val="24"/>
          <w:szCs w:val="24"/>
        </w:rPr>
        <w:t>年第三</w:t>
      </w:r>
      <w:r w:rsidRPr="00225C00">
        <w:rPr>
          <w:rFonts w:asciiTheme="minorEastAsia" w:hAnsiTheme="minorEastAsia" w:hint="eastAsia"/>
          <w:sz w:val="24"/>
          <w:szCs w:val="24"/>
        </w:rPr>
        <w:t>季度，</w:t>
      </w:r>
      <w:r>
        <w:rPr>
          <w:rFonts w:asciiTheme="minorEastAsia" w:hAnsiTheme="minorEastAsia" w:hint="eastAsia"/>
          <w:sz w:val="24"/>
          <w:szCs w:val="24"/>
        </w:rPr>
        <w:t>常州市共成交土地</w:t>
      </w:r>
      <w:r w:rsidR="001A39EA">
        <w:rPr>
          <w:rFonts w:asciiTheme="minorEastAsia" w:hAnsiTheme="minorEastAsia" w:hint="eastAsia"/>
          <w:sz w:val="24"/>
          <w:szCs w:val="24"/>
        </w:rPr>
        <w:t>22</w:t>
      </w:r>
      <w:r>
        <w:rPr>
          <w:rFonts w:asciiTheme="minorEastAsia" w:hAnsiTheme="minorEastAsia" w:hint="eastAsia"/>
          <w:sz w:val="24"/>
          <w:szCs w:val="24"/>
        </w:rPr>
        <w:t>宗，</w:t>
      </w:r>
      <w:r w:rsidRPr="002E3F3B">
        <w:rPr>
          <w:rFonts w:asciiTheme="minorEastAsia" w:hAnsiTheme="minorEastAsia" w:hint="eastAsia"/>
          <w:sz w:val="24"/>
          <w:szCs w:val="24"/>
        </w:rPr>
        <w:t>同比下降</w:t>
      </w:r>
      <w:r w:rsidR="002E3F3B" w:rsidRPr="002E3F3B">
        <w:rPr>
          <w:rFonts w:asciiTheme="minorEastAsia" w:hAnsiTheme="minorEastAsia" w:hint="eastAsia"/>
          <w:sz w:val="24"/>
          <w:szCs w:val="24"/>
        </w:rPr>
        <w:t>50.00</w:t>
      </w:r>
      <w:r w:rsidRPr="002E3F3B">
        <w:rPr>
          <w:rFonts w:asciiTheme="minorEastAsia" w:hAnsiTheme="minorEastAsia" w:hint="eastAsia"/>
          <w:sz w:val="24"/>
          <w:szCs w:val="24"/>
        </w:rPr>
        <w:t>%，环比</w:t>
      </w:r>
      <w:r w:rsidR="002E3F3B" w:rsidRPr="002E3F3B">
        <w:rPr>
          <w:rFonts w:asciiTheme="minorEastAsia" w:hAnsiTheme="minorEastAsia" w:hint="eastAsia"/>
          <w:sz w:val="24"/>
          <w:szCs w:val="24"/>
        </w:rPr>
        <w:t>增加</w:t>
      </w:r>
      <w:r w:rsidR="002E3F3B" w:rsidRPr="002E3F3B">
        <w:rPr>
          <w:rFonts w:asciiTheme="minorEastAsia" w:hAnsiTheme="minorEastAsia" w:hint="eastAsia"/>
          <w:sz w:val="24"/>
          <w:szCs w:val="24"/>
        </w:rPr>
        <w:lastRenderedPageBreak/>
        <w:t>57.14</w:t>
      </w:r>
      <w:r w:rsidRPr="002E3F3B">
        <w:rPr>
          <w:rFonts w:asciiTheme="minorEastAsia" w:hAnsiTheme="minorEastAsia" w:hint="eastAsia"/>
          <w:sz w:val="24"/>
          <w:szCs w:val="24"/>
        </w:rPr>
        <w:t>%。</w:t>
      </w:r>
      <w:r w:rsidR="002E3F3B">
        <w:rPr>
          <w:rFonts w:asciiTheme="minorEastAsia" w:hAnsiTheme="minorEastAsia" w:hint="eastAsia"/>
          <w:sz w:val="24"/>
          <w:szCs w:val="24"/>
        </w:rPr>
        <w:t>三</w:t>
      </w:r>
      <w:r w:rsidR="001A39EA" w:rsidRPr="002E3F3B">
        <w:rPr>
          <w:rFonts w:asciiTheme="minorEastAsia" w:hAnsiTheme="minorEastAsia" w:hint="eastAsia"/>
          <w:sz w:val="24"/>
          <w:szCs w:val="24"/>
        </w:rPr>
        <w:t>季度成交宗地明显上升</w:t>
      </w:r>
      <w:r w:rsidRPr="002E3F3B">
        <w:rPr>
          <w:rFonts w:asciiTheme="minorEastAsia" w:hAnsiTheme="minorEastAsia" w:hint="eastAsia"/>
          <w:sz w:val="24"/>
          <w:szCs w:val="24"/>
        </w:rPr>
        <w:t>，</w:t>
      </w:r>
      <w:r w:rsidR="001A39EA" w:rsidRPr="002E3F3B">
        <w:rPr>
          <w:rFonts w:asciiTheme="minorEastAsia" w:hAnsiTheme="minorEastAsia" w:hint="eastAsia"/>
          <w:sz w:val="24"/>
          <w:szCs w:val="24"/>
        </w:rPr>
        <w:t>主要源于政府供应</w:t>
      </w:r>
      <w:r w:rsidR="001A39EA">
        <w:rPr>
          <w:rFonts w:asciiTheme="minorEastAsia" w:hAnsiTheme="minorEastAsia" w:hint="eastAsia"/>
          <w:sz w:val="24"/>
          <w:szCs w:val="24"/>
        </w:rPr>
        <w:t>的增加</w:t>
      </w:r>
      <w:r w:rsidR="00DC12C4">
        <w:rPr>
          <w:rFonts w:asciiTheme="minorEastAsia" w:hAnsiTheme="minorEastAsia" w:hint="eastAsia"/>
          <w:sz w:val="24"/>
          <w:szCs w:val="24"/>
        </w:rPr>
        <w:t>。</w:t>
      </w:r>
    </w:p>
    <w:p w:rsidR="00DC12C4" w:rsidRDefault="00DC12C4" w:rsidP="00DC12C4">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从用途来看，纯住宅用地依旧低迷，</w:t>
      </w:r>
      <w:r w:rsidR="001A39EA">
        <w:rPr>
          <w:rFonts w:asciiTheme="minorEastAsia" w:hAnsiTheme="minorEastAsia" w:hint="eastAsia"/>
          <w:sz w:val="24"/>
          <w:szCs w:val="24"/>
        </w:rPr>
        <w:t>仅成交2宗</w:t>
      </w:r>
      <w:r>
        <w:rPr>
          <w:rFonts w:asciiTheme="minorEastAsia" w:hAnsiTheme="minorEastAsia" w:hint="eastAsia"/>
          <w:sz w:val="24"/>
          <w:szCs w:val="24"/>
        </w:rPr>
        <w:t>；商住用地</w:t>
      </w:r>
      <w:r w:rsidR="001A39EA">
        <w:rPr>
          <w:rFonts w:asciiTheme="minorEastAsia" w:hAnsiTheme="minorEastAsia" w:hint="eastAsia"/>
          <w:sz w:val="24"/>
          <w:szCs w:val="24"/>
        </w:rPr>
        <w:t>15</w:t>
      </w:r>
      <w:r>
        <w:rPr>
          <w:rFonts w:asciiTheme="minorEastAsia" w:hAnsiTheme="minorEastAsia" w:hint="eastAsia"/>
          <w:sz w:val="24"/>
          <w:szCs w:val="24"/>
        </w:rPr>
        <w:t>宗，占成交土地的主体，且近年来商住用地一直占据主流，颇受欢迎；商业用地</w:t>
      </w:r>
      <w:r w:rsidR="001A39EA">
        <w:rPr>
          <w:rFonts w:asciiTheme="minorEastAsia" w:hAnsiTheme="minorEastAsia" w:hint="eastAsia"/>
          <w:sz w:val="24"/>
          <w:szCs w:val="24"/>
        </w:rPr>
        <w:t>5</w:t>
      </w:r>
      <w:r>
        <w:rPr>
          <w:rFonts w:asciiTheme="minorEastAsia" w:hAnsiTheme="minorEastAsia" w:hint="eastAsia"/>
          <w:sz w:val="24"/>
          <w:szCs w:val="24"/>
        </w:rPr>
        <w:t>宗，但总体规模相较商住用地更大。</w:t>
      </w:r>
    </w:p>
    <w:p w:rsidR="00DC12C4" w:rsidRDefault="001A39EA" w:rsidP="00DC12C4">
      <w:pPr>
        <w:spacing w:line="360" w:lineRule="auto"/>
        <w:ind w:firstLineChars="200" w:firstLine="480"/>
        <w:jc w:val="left"/>
        <w:rPr>
          <w:rFonts w:asciiTheme="minorEastAsia" w:hAnsiTheme="minorEastAsia"/>
          <w:sz w:val="24"/>
          <w:szCs w:val="24"/>
        </w:rPr>
      </w:pPr>
      <w:r w:rsidRPr="002E3F3B">
        <w:rPr>
          <w:rFonts w:asciiTheme="minorEastAsia" w:hAnsiTheme="minorEastAsia" w:hint="eastAsia"/>
          <w:sz w:val="24"/>
          <w:szCs w:val="24"/>
        </w:rPr>
        <w:t>常州市三</w:t>
      </w:r>
      <w:r w:rsidR="00DC12C4" w:rsidRPr="002E3F3B">
        <w:rPr>
          <w:rFonts w:asciiTheme="minorEastAsia" w:hAnsiTheme="minorEastAsia" w:hint="eastAsia"/>
          <w:sz w:val="24"/>
          <w:szCs w:val="24"/>
        </w:rPr>
        <w:t>季度</w:t>
      </w:r>
      <w:r w:rsidR="000F1B60" w:rsidRPr="002E3F3B">
        <w:rPr>
          <w:rFonts w:asciiTheme="minorEastAsia" w:hAnsiTheme="minorEastAsia" w:hint="eastAsia"/>
          <w:sz w:val="24"/>
          <w:szCs w:val="24"/>
        </w:rPr>
        <w:t>经营性用地成交金额</w:t>
      </w:r>
      <w:r w:rsidRPr="002E3F3B">
        <w:rPr>
          <w:rFonts w:asciiTheme="minorEastAsia" w:hAnsiTheme="minorEastAsia" w:hint="eastAsia"/>
          <w:sz w:val="24"/>
          <w:szCs w:val="24"/>
        </w:rPr>
        <w:t>42.79</w:t>
      </w:r>
      <w:r w:rsidR="00DC12C4" w:rsidRPr="002E3F3B">
        <w:rPr>
          <w:rFonts w:asciiTheme="minorEastAsia" w:hAnsiTheme="minorEastAsia" w:hint="eastAsia"/>
          <w:sz w:val="24"/>
          <w:szCs w:val="24"/>
        </w:rPr>
        <w:t>亿元，</w:t>
      </w:r>
      <w:r w:rsidR="00736BC4" w:rsidRPr="002E3F3B">
        <w:rPr>
          <w:rFonts w:asciiTheme="minorEastAsia" w:hAnsiTheme="minorEastAsia" w:hint="eastAsia"/>
          <w:sz w:val="24"/>
          <w:szCs w:val="24"/>
        </w:rPr>
        <w:t>同比下降</w:t>
      </w:r>
      <w:r w:rsidR="002E3F3B" w:rsidRPr="002E3F3B">
        <w:rPr>
          <w:rFonts w:asciiTheme="minorEastAsia" w:hAnsiTheme="minorEastAsia" w:hint="eastAsia"/>
          <w:sz w:val="24"/>
          <w:szCs w:val="24"/>
        </w:rPr>
        <w:t>56.35</w:t>
      </w:r>
      <w:r w:rsidR="00736BC4" w:rsidRPr="002E3F3B">
        <w:rPr>
          <w:rFonts w:asciiTheme="minorEastAsia" w:hAnsiTheme="minorEastAsia" w:hint="eastAsia"/>
          <w:sz w:val="24"/>
          <w:szCs w:val="24"/>
        </w:rPr>
        <w:t>%，环比</w:t>
      </w:r>
      <w:r w:rsidR="002E3F3B" w:rsidRPr="002E3F3B">
        <w:rPr>
          <w:rFonts w:asciiTheme="minorEastAsia" w:hAnsiTheme="minorEastAsia" w:hint="eastAsia"/>
          <w:sz w:val="24"/>
          <w:szCs w:val="24"/>
        </w:rPr>
        <w:t>增长276.34</w:t>
      </w:r>
      <w:r w:rsidR="00736BC4" w:rsidRPr="002E3F3B">
        <w:rPr>
          <w:rFonts w:asciiTheme="minorEastAsia" w:hAnsiTheme="minorEastAsia" w:hint="eastAsia"/>
          <w:sz w:val="24"/>
          <w:szCs w:val="24"/>
        </w:rPr>
        <w:t>%</w:t>
      </w:r>
      <w:r w:rsidR="000F1B60" w:rsidRPr="002E3F3B">
        <w:rPr>
          <w:rFonts w:asciiTheme="minorEastAsia" w:hAnsiTheme="minorEastAsia" w:hint="eastAsia"/>
          <w:sz w:val="24"/>
          <w:szCs w:val="24"/>
        </w:rPr>
        <w:t>，土地收入</w:t>
      </w:r>
      <w:r w:rsidRPr="002E3F3B">
        <w:rPr>
          <w:rFonts w:asciiTheme="minorEastAsia" w:hAnsiTheme="minorEastAsia" w:hint="eastAsia"/>
          <w:sz w:val="24"/>
          <w:szCs w:val="24"/>
        </w:rPr>
        <w:t>有所增加</w:t>
      </w:r>
      <w:r w:rsidR="00736BC4" w:rsidRPr="002E3F3B">
        <w:rPr>
          <w:rFonts w:asciiTheme="minorEastAsia" w:hAnsiTheme="minorEastAsia" w:hint="eastAsia"/>
          <w:sz w:val="24"/>
          <w:szCs w:val="24"/>
        </w:rPr>
        <w:t>。</w:t>
      </w:r>
    </w:p>
    <w:p w:rsidR="000F1B60" w:rsidRDefault="000F1B60" w:rsidP="00DC12C4">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楼面均价</w:t>
      </w:r>
      <w:r w:rsidR="001A39EA" w:rsidRPr="00F2098B">
        <w:rPr>
          <w:rFonts w:asciiTheme="minorEastAsia" w:hAnsiTheme="minorEastAsia" w:hint="eastAsia"/>
          <w:sz w:val="24"/>
          <w:szCs w:val="24"/>
        </w:rPr>
        <w:t>2400</w:t>
      </w:r>
      <w:r w:rsidRPr="00F2098B">
        <w:rPr>
          <w:rFonts w:asciiTheme="minorEastAsia" w:hAnsiTheme="minorEastAsia" w:hint="eastAsia"/>
          <w:sz w:val="24"/>
          <w:szCs w:val="24"/>
        </w:rPr>
        <w:t>元/m</w:t>
      </w:r>
      <w:r w:rsidRPr="00F2098B">
        <w:rPr>
          <w:rFonts w:asciiTheme="minorEastAsia" w:hAnsiTheme="minorEastAsia" w:hint="eastAsia"/>
          <w:sz w:val="24"/>
          <w:szCs w:val="24"/>
          <w:vertAlign w:val="superscript"/>
        </w:rPr>
        <w:t>2</w:t>
      </w:r>
      <w:r w:rsidRPr="00F2098B">
        <w:rPr>
          <w:rFonts w:asciiTheme="minorEastAsia" w:hAnsiTheme="minorEastAsia" w:hint="eastAsia"/>
          <w:sz w:val="24"/>
          <w:szCs w:val="24"/>
        </w:rPr>
        <w:t>，同比</w:t>
      </w:r>
      <w:r w:rsidR="00F2098B" w:rsidRPr="00F2098B">
        <w:rPr>
          <w:rFonts w:asciiTheme="minorEastAsia" w:hAnsiTheme="minorEastAsia" w:hint="eastAsia"/>
          <w:sz w:val="24"/>
          <w:szCs w:val="24"/>
        </w:rPr>
        <w:t>下跌56.73</w:t>
      </w:r>
      <w:r w:rsidRPr="00F2098B">
        <w:rPr>
          <w:rFonts w:asciiTheme="minorEastAsia" w:hAnsiTheme="minorEastAsia" w:hint="eastAsia"/>
          <w:sz w:val="24"/>
          <w:szCs w:val="24"/>
        </w:rPr>
        <w:t>%，环比</w:t>
      </w:r>
      <w:r w:rsidR="00F2098B" w:rsidRPr="00F2098B">
        <w:rPr>
          <w:rFonts w:asciiTheme="minorEastAsia" w:hAnsiTheme="minorEastAsia" w:hint="eastAsia"/>
          <w:sz w:val="24"/>
          <w:szCs w:val="24"/>
        </w:rPr>
        <w:t>增长24.93</w:t>
      </w:r>
      <w:r w:rsidRPr="00F2098B">
        <w:rPr>
          <w:rFonts w:asciiTheme="minorEastAsia" w:hAnsiTheme="minorEastAsia" w:hint="eastAsia"/>
          <w:sz w:val="24"/>
          <w:szCs w:val="24"/>
        </w:rPr>
        <w:t>%</w:t>
      </w:r>
      <w:r w:rsidR="001A39EA" w:rsidRPr="00F2098B">
        <w:rPr>
          <w:rFonts w:asciiTheme="minorEastAsia" w:hAnsiTheme="minorEastAsia" w:hint="eastAsia"/>
          <w:sz w:val="24"/>
          <w:szCs w:val="24"/>
        </w:rPr>
        <w:t>。三</w:t>
      </w:r>
      <w:r>
        <w:rPr>
          <w:rFonts w:asciiTheme="minorEastAsia" w:hAnsiTheme="minorEastAsia" w:hint="eastAsia"/>
          <w:sz w:val="24"/>
          <w:szCs w:val="24"/>
        </w:rPr>
        <w:t>季度成交宗地</w:t>
      </w:r>
      <w:r w:rsidR="001A39EA">
        <w:rPr>
          <w:rFonts w:asciiTheme="minorEastAsia" w:hAnsiTheme="minorEastAsia" w:hint="eastAsia"/>
          <w:sz w:val="24"/>
          <w:szCs w:val="24"/>
        </w:rPr>
        <w:t>溢价宗地有10宗</w:t>
      </w:r>
      <w:r>
        <w:rPr>
          <w:rFonts w:asciiTheme="minorEastAsia" w:hAnsiTheme="minorEastAsia" w:hint="eastAsia"/>
          <w:sz w:val="24"/>
          <w:szCs w:val="24"/>
        </w:rPr>
        <w:t>，</w:t>
      </w:r>
      <w:r w:rsidR="001A39EA" w:rsidRPr="001A39EA">
        <w:rPr>
          <w:rFonts w:asciiTheme="minorEastAsia" w:hAnsiTheme="minorEastAsia" w:hint="eastAsia"/>
          <w:sz w:val="24"/>
          <w:szCs w:val="24"/>
        </w:rPr>
        <w:t>且纯住宅、商住</w:t>
      </w:r>
      <w:r w:rsidR="001A39EA">
        <w:rPr>
          <w:rFonts w:asciiTheme="minorEastAsia" w:hAnsiTheme="minorEastAsia" w:hint="eastAsia"/>
          <w:sz w:val="24"/>
          <w:szCs w:val="24"/>
        </w:rPr>
        <w:t>和商业用地均有地块出现溢价。其中整体溢价率</w:t>
      </w:r>
      <w:r>
        <w:rPr>
          <w:rFonts w:asciiTheme="minorEastAsia" w:hAnsiTheme="minorEastAsia" w:hint="eastAsia"/>
          <w:sz w:val="24"/>
          <w:szCs w:val="24"/>
        </w:rPr>
        <w:t>为</w:t>
      </w:r>
      <w:r w:rsidR="001A39EA">
        <w:rPr>
          <w:rFonts w:asciiTheme="minorEastAsia" w:hAnsiTheme="minorEastAsia" w:hint="eastAsia"/>
          <w:sz w:val="24"/>
          <w:szCs w:val="24"/>
        </w:rPr>
        <w:t>5.78</w:t>
      </w:r>
      <w:r>
        <w:rPr>
          <w:rFonts w:asciiTheme="minorEastAsia" w:hAnsiTheme="minorEastAsia" w:hint="eastAsia"/>
          <w:sz w:val="24"/>
          <w:szCs w:val="24"/>
        </w:rPr>
        <w:t>%。</w:t>
      </w:r>
      <w:r w:rsidR="003147D3">
        <w:rPr>
          <w:rFonts w:asciiTheme="minorEastAsia" w:hAnsiTheme="minorEastAsia" w:hint="eastAsia"/>
          <w:sz w:val="24"/>
          <w:szCs w:val="24"/>
        </w:rPr>
        <w:t>具体来看，商住用地</w:t>
      </w:r>
      <w:r w:rsidR="00335A58">
        <w:rPr>
          <w:rFonts w:asciiTheme="minorEastAsia" w:hAnsiTheme="minorEastAsia" w:hint="eastAsia"/>
          <w:sz w:val="24"/>
          <w:szCs w:val="24"/>
        </w:rPr>
        <w:t>楼面</w:t>
      </w:r>
      <w:r w:rsidR="003147D3">
        <w:rPr>
          <w:rFonts w:asciiTheme="minorEastAsia" w:hAnsiTheme="minorEastAsia" w:hint="eastAsia"/>
          <w:sz w:val="24"/>
          <w:szCs w:val="24"/>
        </w:rPr>
        <w:t>均价</w:t>
      </w:r>
      <w:r w:rsidR="001A39EA">
        <w:rPr>
          <w:rFonts w:asciiTheme="minorEastAsia" w:hAnsiTheme="minorEastAsia" w:hint="eastAsia"/>
          <w:sz w:val="24"/>
          <w:szCs w:val="24"/>
        </w:rPr>
        <w:t>2564</w:t>
      </w:r>
      <w:r w:rsidR="003147D3">
        <w:rPr>
          <w:rFonts w:asciiTheme="minorEastAsia" w:hAnsiTheme="minorEastAsia" w:hint="eastAsia"/>
          <w:sz w:val="24"/>
          <w:szCs w:val="24"/>
        </w:rPr>
        <w:t>元/m</w:t>
      </w:r>
      <w:r w:rsidR="003147D3">
        <w:rPr>
          <w:rFonts w:asciiTheme="minorEastAsia" w:hAnsiTheme="minorEastAsia" w:hint="eastAsia"/>
          <w:sz w:val="24"/>
          <w:szCs w:val="24"/>
          <w:vertAlign w:val="superscript"/>
        </w:rPr>
        <w:t>2</w:t>
      </w:r>
      <w:r w:rsidR="003147D3">
        <w:rPr>
          <w:rFonts w:asciiTheme="minorEastAsia" w:hAnsiTheme="minorEastAsia" w:hint="eastAsia"/>
          <w:sz w:val="24"/>
          <w:szCs w:val="24"/>
        </w:rPr>
        <w:t>，</w:t>
      </w:r>
      <w:r w:rsidR="00335A58">
        <w:rPr>
          <w:rFonts w:asciiTheme="minorEastAsia" w:hAnsiTheme="minorEastAsia" w:hint="eastAsia"/>
          <w:sz w:val="24"/>
          <w:szCs w:val="24"/>
        </w:rPr>
        <w:t>商业用地楼面均价</w:t>
      </w:r>
      <w:r w:rsidR="001A39EA">
        <w:rPr>
          <w:rFonts w:asciiTheme="minorEastAsia" w:hAnsiTheme="minorEastAsia" w:hint="eastAsia"/>
          <w:sz w:val="24"/>
          <w:szCs w:val="24"/>
        </w:rPr>
        <w:t>5785</w:t>
      </w:r>
      <w:r w:rsidR="00335A58">
        <w:rPr>
          <w:rFonts w:asciiTheme="minorEastAsia" w:hAnsiTheme="minorEastAsia" w:hint="eastAsia"/>
          <w:sz w:val="24"/>
          <w:szCs w:val="24"/>
        </w:rPr>
        <w:t>元/m</w:t>
      </w:r>
      <w:r w:rsidR="00335A58">
        <w:rPr>
          <w:rFonts w:asciiTheme="minorEastAsia" w:hAnsiTheme="minorEastAsia" w:hint="eastAsia"/>
          <w:sz w:val="24"/>
          <w:szCs w:val="24"/>
          <w:vertAlign w:val="superscript"/>
        </w:rPr>
        <w:t>2</w:t>
      </w:r>
      <w:r w:rsidR="00335A58">
        <w:rPr>
          <w:rFonts w:asciiTheme="minorEastAsia" w:hAnsiTheme="minorEastAsia" w:hint="eastAsia"/>
          <w:sz w:val="24"/>
          <w:szCs w:val="24"/>
        </w:rPr>
        <w:t>，商业用地溢价率</w:t>
      </w:r>
      <w:r w:rsidR="001A39EA">
        <w:rPr>
          <w:rFonts w:asciiTheme="minorEastAsia" w:hAnsiTheme="minorEastAsia" w:hint="eastAsia"/>
          <w:sz w:val="24"/>
          <w:szCs w:val="24"/>
        </w:rPr>
        <w:t>3</w:t>
      </w:r>
      <w:r w:rsidR="00335A58">
        <w:rPr>
          <w:rFonts w:asciiTheme="minorEastAsia" w:hAnsiTheme="minorEastAsia" w:hint="eastAsia"/>
          <w:sz w:val="24"/>
          <w:szCs w:val="24"/>
        </w:rPr>
        <w:t>%，市场竞争程度明显减弱。</w:t>
      </w:r>
    </w:p>
    <w:p w:rsidR="00462E71" w:rsidRPr="00885951" w:rsidRDefault="00462E71" w:rsidP="00462E71">
      <w:pPr>
        <w:spacing w:line="360" w:lineRule="auto"/>
        <w:jc w:val="center"/>
        <w:rPr>
          <w:rFonts w:asciiTheme="minorEastAsia" w:hAnsiTheme="minorEastAsia"/>
          <w:b/>
          <w:szCs w:val="21"/>
        </w:rPr>
      </w:pPr>
      <w:r w:rsidRPr="00885951">
        <w:rPr>
          <w:rFonts w:asciiTheme="minorEastAsia" w:hAnsiTheme="minorEastAsia" w:hint="eastAsia"/>
          <w:b/>
          <w:szCs w:val="21"/>
        </w:rPr>
        <w:t>表</w:t>
      </w:r>
      <w:r w:rsidR="00885951" w:rsidRPr="00885951">
        <w:rPr>
          <w:rFonts w:asciiTheme="minorEastAsia" w:hAnsiTheme="minorEastAsia" w:hint="eastAsia"/>
          <w:b/>
          <w:szCs w:val="21"/>
        </w:rPr>
        <w:t>6</w:t>
      </w:r>
      <w:r w:rsidRPr="00885951">
        <w:rPr>
          <w:rFonts w:asciiTheme="minorEastAsia" w:hAnsiTheme="minorEastAsia" w:hint="eastAsia"/>
          <w:b/>
          <w:szCs w:val="21"/>
        </w:rPr>
        <w:t xml:space="preserve"> 2015</w:t>
      </w:r>
      <w:r w:rsidR="001A39EA">
        <w:rPr>
          <w:rFonts w:asciiTheme="minorEastAsia" w:hAnsiTheme="minorEastAsia" w:hint="eastAsia"/>
          <w:b/>
          <w:szCs w:val="21"/>
        </w:rPr>
        <w:t>年三</w:t>
      </w:r>
      <w:r w:rsidRPr="00885951">
        <w:rPr>
          <w:rFonts w:asciiTheme="minorEastAsia" w:hAnsiTheme="minorEastAsia" w:hint="eastAsia"/>
          <w:b/>
          <w:szCs w:val="21"/>
        </w:rPr>
        <w:t>季度常州市土地市场成交情况</w:t>
      </w:r>
    </w:p>
    <w:tbl>
      <w:tblPr>
        <w:tblW w:w="5000" w:type="pct"/>
        <w:tblLayout w:type="fixed"/>
        <w:tblLook w:val="04A0" w:firstRow="1" w:lastRow="0" w:firstColumn="1" w:lastColumn="0" w:noHBand="0" w:noVBand="1"/>
      </w:tblPr>
      <w:tblGrid>
        <w:gridCol w:w="961"/>
        <w:gridCol w:w="568"/>
        <w:gridCol w:w="879"/>
        <w:gridCol w:w="965"/>
        <w:gridCol w:w="994"/>
        <w:gridCol w:w="994"/>
        <w:gridCol w:w="852"/>
        <w:gridCol w:w="709"/>
        <w:gridCol w:w="707"/>
        <w:gridCol w:w="893"/>
      </w:tblGrid>
      <w:tr w:rsidR="00312C38" w:rsidRPr="00AA56F3" w:rsidTr="00A8388F">
        <w:trPr>
          <w:trHeight w:val="800"/>
        </w:trPr>
        <w:tc>
          <w:tcPr>
            <w:tcW w:w="564" w:type="pct"/>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AA56F3" w:rsidRPr="00AA56F3" w:rsidRDefault="00AA56F3" w:rsidP="00AA56F3">
            <w:pPr>
              <w:widowControl/>
              <w:jc w:val="center"/>
              <w:rPr>
                <w:rFonts w:ascii="宋体" w:eastAsia="宋体" w:hAnsi="宋体" w:cs="宋体"/>
                <w:b/>
                <w:color w:val="000000"/>
                <w:kern w:val="0"/>
                <w:szCs w:val="21"/>
              </w:rPr>
            </w:pPr>
            <w:r w:rsidRPr="00AA56F3">
              <w:rPr>
                <w:rFonts w:ascii="宋体" w:eastAsia="宋体" w:hAnsi="宋体" w:cs="宋体" w:hint="eastAsia"/>
                <w:b/>
                <w:color w:val="000000"/>
                <w:kern w:val="0"/>
                <w:szCs w:val="21"/>
              </w:rPr>
              <w:t>用途</w:t>
            </w:r>
          </w:p>
        </w:tc>
        <w:tc>
          <w:tcPr>
            <w:tcW w:w="333" w:type="pct"/>
            <w:tcBorders>
              <w:top w:val="single" w:sz="4" w:space="0" w:color="auto"/>
              <w:left w:val="nil"/>
              <w:bottom w:val="single" w:sz="4" w:space="0" w:color="auto"/>
              <w:right w:val="single" w:sz="4" w:space="0" w:color="auto"/>
            </w:tcBorders>
            <w:shd w:val="clear" w:color="000000" w:fill="D8E4BC"/>
            <w:noWrap/>
            <w:vAlign w:val="center"/>
            <w:hideMark/>
          </w:tcPr>
          <w:p w:rsidR="00AA56F3" w:rsidRPr="00AA56F3" w:rsidRDefault="00AA56F3" w:rsidP="00AA56F3">
            <w:pPr>
              <w:widowControl/>
              <w:jc w:val="center"/>
              <w:rPr>
                <w:rFonts w:ascii="宋体" w:eastAsia="宋体" w:hAnsi="宋体" w:cs="宋体"/>
                <w:b/>
                <w:color w:val="000000"/>
                <w:kern w:val="0"/>
                <w:szCs w:val="21"/>
              </w:rPr>
            </w:pPr>
            <w:r w:rsidRPr="00AA56F3">
              <w:rPr>
                <w:rFonts w:ascii="宋体" w:eastAsia="宋体" w:hAnsi="宋体" w:cs="宋体" w:hint="eastAsia"/>
                <w:b/>
                <w:color w:val="000000"/>
                <w:kern w:val="0"/>
                <w:szCs w:val="21"/>
              </w:rPr>
              <w:t>宗数</w:t>
            </w:r>
          </w:p>
        </w:tc>
        <w:tc>
          <w:tcPr>
            <w:tcW w:w="516" w:type="pct"/>
            <w:tcBorders>
              <w:top w:val="single" w:sz="4" w:space="0" w:color="auto"/>
              <w:left w:val="nil"/>
              <w:bottom w:val="single" w:sz="4" w:space="0" w:color="auto"/>
              <w:right w:val="single" w:sz="4" w:space="0" w:color="auto"/>
            </w:tcBorders>
            <w:shd w:val="clear" w:color="000000" w:fill="D8E4BC"/>
            <w:vAlign w:val="center"/>
            <w:hideMark/>
          </w:tcPr>
          <w:p w:rsidR="00AA56F3" w:rsidRPr="00AA56F3" w:rsidRDefault="00AA56F3" w:rsidP="00AA56F3">
            <w:pPr>
              <w:widowControl/>
              <w:jc w:val="center"/>
              <w:rPr>
                <w:rFonts w:ascii="宋体" w:eastAsia="宋体" w:hAnsi="宋体" w:cs="宋体"/>
                <w:b/>
                <w:color w:val="000000"/>
                <w:kern w:val="0"/>
                <w:szCs w:val="21"/>
              </w:rPr>
            </w:pPr>
            <w:r w:rsidRPr="00AA56F3">
              <w:rPr>
                <w:rFonts w:ascii="宋体" w:eastAsia="宋体" w:hAnsi="宋体" w:cs="宋体" w:hint="eastAsia"/>
                <w:b/>
                <w:color w:val="000000"/>
                <w:kern w:val="0"/>
                <w:szCs w:val="21"/>
              </w:rPr>
              <w:t>成交金额（亿元）</w:t>
            </w:r>
          </w:p>
        </w:tc>
        <w:tc>
          <w:tcPr>
            <w:tcW w:w="566" w:type="pct"/>
            <w:tcBorders>
              <w:top w:val="single" w:sz="4" w:space="0" w:color="auto"/>
              <w:left w:val="nil"/>
              <w:bottom w:val="single" w:sz="4" w:space="0" w:color="auto"/>
              <w:right w:val="single" w:sz="4" w:space="0" w:color="auto"/>
            </w:tcBorders>
            <w:shd w:val="clear" w:color="000000" w:fill="D8E4BC"/>
            <w:vAlign w:val="center"/>
            <w:hideMark/>
          </w:tcPr>
          <w:p w:rsidR="00AA56F3" w:rsidRPr="00AA56F3" w:rsidRDefault="00AA56F3" w:rsidP="00AA56F3">
            <w:pPr>
              <w:widowControl/>
              <w:jc w:val="center"/>
              <w:rPr>
                <w:rFonts w:ascii="宋体" w:eastAsia="宋体" w:hAnsi="宋体" w:cs="宋体"/>
                <w:b/>
                <w:color w:val="000000"/>
                <w:kern w:val="0"/>
                <w:szCs w:val="21"/>
              </w:rPr>
            </w:pPr>
            <w:r w:rsidRPr="00AA56F3">
              <w:rPr>
                <w:rFonts w:ascii="宋体" w:eastAsia="宋体" w:hAnsi="宋体" w:cs="宋体" w:hint="eastAsia"/>
                <w:b/>
                <w:color w:val="000000"/>
                <w:kern w:val="0"/>
                <w:szCs w:val="21"/>
              </w:rPr>
              <w:t>宗地面积（万m2）</w:t>
            </w:r>
          </w:p>
        </w:tc>
        <w:tc>
          <w:tcPr>
            <w:tcW w:w="583" w:type="pct"/>
            <w:tcBorders>
              <w:top w:val="single" w:sz="4" w:space="0" w:color="auto"/>
              <w:left w:val="nil"/>
              <w:bottom w:val="single" w:sz="4" w:space="0" w:color="auto"/>
              <w:right w:val="single" w:sz="4" w:space="0" w:color="auto"/>
            </w:tcBorders>
            <w:shd w:val="clear" w:color="000000" w:fill="D8E4BC"/>
            <w:vAlign w:val="center"/>
            <w:hideMark/>
          </w:tcPr>
          <w:p w:rsidR="00AA56F3" w:rsidRPr="00AA56F3" w:rsidRDefault="00AA56F3" w:rsidP="00AA56F3">
            <w:pPr>
              <w:widowControl/>
              <w:jc w:val="center"/>
              <w:rPr>
                <w:rFonts w:ascii="宋体" w:eastAsia="宋体" w:hAnsi="宋体" w:cs="宋体"/>
                <w:b/>
                <w:color w:val="000000"/>
                <w:kern w:val="0"/>
                <w:szCs w:val="21"/>
              </w:rPr>
            </w:pPr>
            <w:r w:rsidRPr="00AA56F3">
              <w:rPr>
                <w:rFonts w:ascii="宋体" w:eastAsia="宋体" w:hAnsi="宋体" w:cs="宋体" w:hint="eastAsia"/>
                <w:b/>
                <w:color w:val="000000"/>
                <w:kern w:val="0"/>
                <w:szCs w:val="21"/>
              </w:rPr>
              <w:t>平均规模（万m2）</w:t>
            </w:r>
          </w:p>
        </w:tc>
        <w:tc>
          <w:tcPr>
            <w:tcW w:w="583" w:type="pct"/>
            <w:tcBorders>
              <w:top w:val="single" w:sz="4" w:space="0" w:color="auto"/>
              <w:left w:val="nil"/>
              <w:bottom w:val="single" w:sz="4" w:space="0" w:color="auto"/>
              <w:right w:val="single" w:sz="4" w:space="0" w:color="auto"/>
            </w:tcBorders>
            <w:shd w:val="clear" w:color="000000" w:fill="D8E4BC"/>
            <w:vAlign w:val="center"/>
            <w:hideMark/>
          </w:tcPr>
          <w:p w:rsidR="00AA56F3" w:rsidRPr="00AA56F3" w:rsidRDefault="00AA56F3" w:rsidP="00AA56F3">
            <w:pPr>
              <w:widowControl/>
              <w:jc w:val="center"/>
              <w:rPr>
                <w:rFonts w:ascii="宋体" w:eastAsia="宋体" w:hAnsi="宋体" w:cs="宋体"/>
                <w:b/>
                <w:color w:val="000000"/>
                <w:kern w:val="0"/>
                <w:szCs w:val="21"/>
              </w:rPr>
            </w:pPr>
            <w:r w:rsidRPr="00AA56F3">
              <w:rPr>
                <w:rFonts w:ascii="宋体" w:eastAsia="宋体" w:hAnsi="宋体" w:cs="宋体" w:hint="eastAsia"/>
                <w:b/>
                <w:color w:val="000000"/>
                <w:kern w:val="0"/>
                <w:szCs w:val="21"/>
              </w:rPr>
              <w:t>建筑面积（万m2）</w:t>
            </w:r>
          </w:p>
        </w:tc>
        <w:tc>
          <w:tcPr>
            <w:tcW w:w="500" w:type="pct"/>
            <w:tcBorders>
              <w:top w:val="single" w:sz="4" w:space="0" w:color="auto"/>
              <w:left w:val="nil"/>
              <w:bottom w:val="single" w:sz="4" w:space="0" w:color="auto"/>
              <w:right w:val="single" w:sz="4" w:space="0" w:color="auto"/>
            </w:tcBorders>
            <w:shd w:val="clear" w:color="000000" w:fill="D8E4BC"/>
            <w:vAlign w:val="center"/>
            <w:hideMark/>
          </w:tcPr>
          <w:p w:rsidR="00AA56F3" w:rsidRPr="00AA56F3" w:rsidRDefault="00AA56F3" w:rsidP="00AA56F3">
            <w:pPr>
              <w:widowControl/>
              <w:jc w:val="center"/>
              <w:rPr>
                <w:rFonts w:ascii="宋体" w:eastAsia="宋体" w:hAnsi="宋体" w:cs="宋体"/>
                <w:b/>
                <w:color w:val="000000"/>
                <w:kern w:val="0"/>
                <w:szCs w:val="21"/>
              </w:rPr>
            </w:pPr>
            <w:r w:rsidRPr="00AA56F3">
              <w:rPr>
                <w:rFonts w:ascii="宋体" w:eastAsia="宋体" w:hAnsi="宋体" w:cs="宋体" w:hint="eastAsia"/>
                <w:b/>
                <w:color w:val="000000"/>
                <w:kern w:val="0"/>
                <w:szCs w:val="21"/>
              </w:rPr>
              <w:t>平均容积率</w:t>
            </w:r>
          </w:p>
        </w:tc>
        <w:tc>
          <w:tcPr>
            <w:tcW w:w="416" w:type="pct"/>
            <w:tcBorders>
              <w:top w:val="single" w:sz="4" w:space="0" w:color="auto"/>
              <w:left w:val="nil"/>
              <w:bottom w:val="single" w:sz="4" w:space="0" w:color="auto"/>
              <w:right w:val="single" w:sz="4" w:space="0" w:color="auto"/>
            </w:tcBorders>
            <w:shd w:val="clear" w:color="000000" w:fill="D8E4BC"/>
            <w:noWrap/>
            <w:vAlign w:val="center"/>
            <w:hideMark/>
          </w:tcPr>
          <w:p w:rsidR="00AA56F3" w:rsidRPr="00AA56F3" w:rsidRDefault="00AA56F3" w:rsidP="00AA56F3">
            <w:pPr>
              <w:widowControl/>
              <w:jc w:val="center"/>
              <w:rPr>
                <w:rFonts w:ascii="宋体" w:eastAsia="宋体" w:hAnsi="宋体" w:cs="宋体"/>
                <w:b/>
                <w:color w:val="000000"/>
                <w:kern w:val="0"/>
                <w:szCs w:val="21"/>
              </w:rPr>
            </w:pPr>
            <w:r w:rsidRPr="00AA56F3">
              <w:rPr>
                <w:rFonts w:ascii="宋体" w:eastAsia="宋体" w:hAnsi="宋体" w:cs="宋体" w:hint="eastAsia"/>
                <w:b/>
                <w:color w:val="000000"/>
                <w:kern w:val="0"/>
                <w:szCs w:val="21"/>
              </w:rPr>
              <w:t>楼面均价</w:t>
            </w:r>
          </w:p>
        </w:tc>
        <w:tc>
          <w:tcPr>
            <w:tcW w:w="415" w:type="pct"/>
            <w:tcBorders>
              <w:top w:val="single" w:sz="4" w:space="0" w:color="auto"/>
              <w:left w:val="nil"/>
              <w:bottom w:val="single" w:sz="4" w:space="0" w:color="auto"/>
              <w:right w:val="single" w:sz="4" w:space="0" w:color="auto"/>
            </w:tcBorders>
            <w:shd w:val="clear" w:color="000000" w:fill="D8E4BC"/>
            <w:noWrap/>
            <w:vAlign w:val="center"/>
            <w:hideMark/>
          </w:tcPr>
          <w:p w:rsidR="00AA56F3" w:rsidRPr="00AA56F3" w:rsidRDefault="00AA56F3" w:rsidP="00AA56F3">
            <w:pPr>
              <w:widowControl/>
              <w:jc w:val="center"/>
              <w:rPr>
                <w:rFonts w:ascii="宋体" w:eastAsia="宋体" w:hAnsi="宋体" w:cs="宋体"/>
                <w:b/>
                <w:color w:val="000000"/>
                <w:kern w:val="0"/>
                <w:szCs w:val="21"/>
              </w:rPr>
            </w:pPr>
            <w:r w:rsidRPr="00AA56F3">
              <w:rPr>
                <w:rFonts w:ascii="宋体" w:eastAsia="宋体" w:hAnsi="宋体" w:cs="宋体" w:hint="eastAsia"/>
                <w:b/>
                <w:color w:val="000000"/>
                <w:kern w:val="0"/>
                <w:szCs w:val="21"/>
              </w:rPr>
              <w:t>溢价地块</w:t>
            </w:r>
          </w:p>
        </w:tc>
        <w:tc>
          <w:tcPr>
            <w:tcW w:w="524" w:type="pct"/>
            <w:tcBorders>
              <w:top w:val="single" w:sz="4" w:space="0" w:color="auto"/>
              <w:left w:val="nil"/>
              <w:bottom w:val="single" w:sz="4" w:space="0" w:color="auto"/>
              <w:right w:val="single" w:sz="4" w:space="0" w:color="auto"/>
            </w:tcBorders>
            <w:shd w:val="clear" w:color="000000" w:fill="D8E4BC"/>
            <w:vAlign w:val="center"/>
            <w:hideMark/>
          </w:tcPr>
          <w:p w:rsidR="00AA56F3" w:rsidRPr="00AA56F3" w:rsidRDefault="00AA56F3" w:rsidP="00AA56F3">
            <w:pPr>
              <w:widowControl/>
              <w:jc w:val="center"/>
              <w:rPr>
                <w:rFonts w:ascii="宋体" w:eastAsia="宋体" w:hAnsi="宋体" w:cs="宋体"/>
                <w:b/>
                <w:color w:val="000000"/>
                <w:kern w:val="0"/>
                <w:szCs w:val="21"/>
              </w:rPr>
            </w:pPr>
            <w:r w:rsidRPr="00AA56F3">
              <w:rPr>
                <w:rFonts w:ascii="宋体" w:eastAsia="宋体" w:hAnsi="宋体" w:cs="宋体" w:hint="eastAsia"/>
                <w:b/>
                <w:color w:val="000000"/>
                <w:kern w:val="0"/>
                <w:szCs w:val="21"/>
              </w:rPr>
              <w:t>溢价率</w:t>
            </w:r>
          </w:p>
        </w:tc>
      </w:tr>
      <w:tr w:rsidR="001A39EA" w:rsidRPr="00AA56F3" w:rsidTr="00312C38">
        <w:trPr>
          <w:trHeight w:val="27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rsidR="001A39EA" w:rsidRPr="00A8388F" w:rsidRDefault="001A39EA" w:rsidP="00AA56F3">
            <w:pPr>
              <w:widowControl/>
              <w:jc w:val="center"/>
              <w:rPr>
                <w:rFonts w:ascii="宋体" w:eastAsia="宋体" w:hAnsi="宋体" w:cs="宋体"/>
                <w:b/>
                <w:color w:val="000000"/>
                <w:kern w:val="0"/>
                <w:szCs w:val="21"/>
              </w:rPr>
            </w:pPr>
            <w:r w:rsidRPr="00A8388F">
              <w:rPr>
                <w:rFonts w:ascii="宋体" w:eastAsia="宋体" w:hAnsi="宋体" w:cs="宋体" w:hint="eastAsia"/>
                <w:b/>
                <w:color w:val="000000"/>
                <w:kern w:val="0"/>
                <w:szCs w:val="21"/>
              </w:rPr>
              <w:t>纯住宅</w:t>
            </w:r>
          </w:p>
        </w:tc>
        <w:tc>
          <w:tcPr>
            <w:tcW w:w="333" w:type="pct"/>
            <w:tcBorders>
              <w:top w:val="nil"/>
              <w:left w:val="nil"/>
              <w:bottom w:val="single" w:sz="4" w:space="0" w:color="auto"/>
              <w:right w:val="single" w:sz="4" w:space="0" w:color="auto"/>
            </w:tcBorders>
            <w:shd w:val="clear" w:color="auto" w:fill="auto"/>
            <w:noWrap/>
            <w:vAlign w:val="center"/>
            <w:hideMark/>
          </w:tcPr>
          <w:p w:rsidR="001A39EA" w:rsidRDefault="001A39EA">
            <w:pPr>
              <w:jc w:val="center"/>
              <w:rPr>
                <w:rFonts w:ascii="宋体" w:eastAsia="宋体" w:hAnsi="宋体" w:cs="宋体"/>
                <w:color w:val="000000"/>
                <w:sz w:val="22"/>
              </w:rPr>
            </w:pPr>
            <w:r>
              <w:rPr>
                <w:rFonts w:hint="eastAsia"/>
                <w:color w:val="000000"/>
                <w:sz w:val="22"/>
              </w:rPr>
              <w:t>2</w:t>
            </w:r>
          </w:p>
        </w:tc>
        <w:tc>
          <w:tcPr>
            <w:tcW w:w="516" w:type="pct"/>
            <w:tcBorders>
              <w:top w:val="nil"/>
              <w:left w:val="nil"/>
              <w:bottom w:val="single" w:sz="4" w:space="0" w:color="auto"/>
              <w:right w:val="single" w:sz="4" w:space="0" w:color="auto"/>
            </w:tcBorders>
            <w:shd w:val="clear" w:color="auto" w:fill="auto"/>
            <w:noWrap/>
            <w:vAlign w:val="center"/>
            <w:hideMark/>
          </w:tcPr>
          <w:p w:rsidR="001A39EA" w:rsidRDefault="001A39EA">
            <w:pPr>
              <w:jc w:val="center"/>
              <w:rPr>
                <w:rFonts w:ascii="宋体" w:eastAsia="宋体" w:hAnsi="宋体" w:cs="宋体"/>
                <w:color w:val="000000"/>
                <w:sz w:val="22"/>
              </w:rPr>
            </w:pPr>
            <w:r>
              <w:rPr>
                <w:rFonts w:hint="eastAsia"/>
                <w:color w:val="000000"/>
                <w:sz w:val="22"/>
              </w:rPr>
              <w:t>2.19</w:t>
            </w:r>
          </w:p>
        </w:tc>
        <w:tc>
          <w:tcPr>
            <w:tcW w:w="566" w:type="pct"/>
            <w:tcBorders>
              <w:top w:val="nil"/>
              <w:left w:val="nil"/>
              <w:bottom w:val="single" w:sz="4" w:space="0" w:color="auto"/>
              <w:right w:val="single" w:sz="4" w:space="0" w:color="auto"/>
            </w:tcBorders>
            <w:shd w:val="clear" w:color="auto" w:fill="auto"/>
            <w:noWrap/>
            <w:vAlign w:val="center"/>
            <w:hideMark/>
          </w:tcPr>
          <w:p w:rsidR="001A39EA" w:rsidRDefault="001A39EA">
            <w:pPr>
              <w:jc w:val="center"/>
              <w:rPr>
                <w:rFonts w:ascii="宋体" w:eastAsia="宋体" w:hAnsi="宋体" w:cs="宋体"/>
                <w:color w:val="000000"/>
                <w:sz w:val="22"/>
              </w:rPr>
            </w:pPr>
            <w:r>
              <w:rPr>
                <w:rFonts w:hint="eastAsia"/>
                <w:color w:val="000000"/>
                <w:sz w:val="22"/>
              </w:rPr>
              <w:t>7.45</w:t>
            </w:r>
          </w:p>
        </w:tc>
        <w:tc>
          <w:tcPr>
            <w:tcW w:w="583" w:type="pct"/>
            <w:tcBorders>
              <w:top w:val="nil"/>
              <w:left w:val="nil"/>
              <w:bottom w:val="single" w:sz="4" w:space="0" w:color="auto"/>
              <w:right w:val="single" w:sz="4" w:space="0" w:color="auto"/>
            </w:tcBorders>
            <w:shd w:val="clear" w:color="auto" w:fill="auto"/>
            <w:noWrap/>
            <w:vAlign w:val="bottom"/>
            <w:hideMark/>
          </w:tcPr>
          <w:p w:rsidR="001A39EA" w:rsidRDefault="001A39EA">
            <w:pPr>
              <w:jc w:val="center"/>
              <w:rPr>
                <w:rFonts w:ascii="宋体" w:eastAsia="宋体" w:hAnsi="宋体" w:cs="宋体"/>
                <w:color w:val="000000"/>
                <w:sz w:val="22"/>
              </w:rPr>
            </w:pPr>
            <w:r>
              <w:rPr>
                <w:rFonts w:hint="eastAsia"/>
                <w:color w:val="000000"/>
                <w:sz w:val="22"/>
              </w:rPr>
              <w:t xml:space="preserve">3.73 </w:t>
            </w:r>
          </w:p>
        </w:tc>
        <w:tc>
          <w:tcPr>
            <w:tcW w:w="583" w:type="pct"/>
            <w:tcBorders>
              <w:top w:val="nil"/>
              <w:left w:val="nil"/>
              <w:bottom w:val="single" w:sz="4" w:space="0" w:color="auto"/>
              <w:right w:val="single" w:sz="4" w:space="0" w:color="auto"/>
            </w:tcBorders>
            <w:shd w:val="clear" w:color="auto" w:fill="auto"/>
            <w:noWrap/>
            <w:vAlign w:val="center"/>
            <w:hideMark/>
          </w:tcPr>
          <w:p w:rsidR="001A39EA" w:rsidRDefault="001A39EA">
            <w:pPr>
              <w:jc w:val="center"/>
              <w:rPr>
                <w:rFonts w:ascii="宋体" w:eastAsia="宋体" w:hAnsi="宋体" w:cs="宋体"/>
                <w:color w:val="000000"/>
                <w:sz w:val="22"/>
              </w:rPr>
            </w:pPr>
            <w:r>
              <w:rPr>
                <w:rFonts w:hint="eastAsia"/>
                <w:color w:val="000000"/>
                <w:sz w:val="22"/>
              </w:rPr>
              <w:t>21.71</w:t>
            </w:r>
          </w:p>
        </w:tc>
        <w:tc>
          <w:tcPr>
            <w:tcW w:w="500" w:type="pct"/>
            <w:tcBorders>
              <w:top w:val="nil"/>
              <w:left w:val="nil"/>
              <w:bottom w:val="single" w:sz="4" w:space="0" w:color="auto"/>
              <w:right w:val="single" w:sz="4" w:space="0" w:color="auto"/>
            </w:tcBorders>
            <w:shd w:val="clear" w:color="auto" w:fill="auto"/>
            <w:noWrap/>
            <w:vAlign w:val="center"/>
            <w:hideMark/>
          </w:tcPr>
          <w:p w:rsidR="001A39EA" w:rsidRDefault="001A39EA">
            <w:pPr>
              <w:jc w:val="center"/>
              <w:rPr>
                <w:rFonts w:ascii="宋体" w:eastAsia="宋体" w:hAnsi="宋体" w:cs="宋体"/>
                <w:color w:val="000000"/>
                <w:sz w:val="22"/>
              </w:rPr>
            </w:pPr>
            <w:r>
              <w:rPr>
                <w:rFonts w:hint="eastAsia"/>
                <w:color w:val="000000"/>
                <w:sz w:val="22"/>
              </w:rPr>
              <w:t xml:space="preserve">2.91 </w:t>
            </w:r>
          </w:p>
        </w:tc>
        <w:tc>
          <w:tcPr>
            <w:tcW w:w="416" w:type="pct"/>
            <w:tcBorders>
              <w:top w:val="nil"/>
              <w:left w:val="nil"/>
              <w:bottom w:val="single" w:sz="4" w:space="0" w:color="auto"/>
              <w:right w:val="single" w:sz="4" w:space="0" w:color="auto"/>
            </w:tcBorders>
            <w:shd w:val="clear" w:color="auto" w:fill="auto"/>
            <w:noWrap/>
            <w:vAlign w:val="center"/>
            <w:hideMark/>
          </w:tcPr>
          <w:p w:rsidR="001A39EA" w:rsidRDefault="001A39EA">
            <w:pPr>
              <w:jc w:val="center"/>
              <w:rPr>
                <w:rFonts w:ascii="宋体" w:eastAsia="宋体" w:hAnsi="宋体" w:cs="宋体"/>
                <w:color w:val="000000"/>
                <w:sz w:val="22"/>
              </w:rPr>
            </w:pPr>
            <w:r>
              <w:rPr>
                <w:rFonts w:hint="eastAsia"/>
                <w:color w:val="000000"/>
                <w:sz w:val="22"/>
              </w:rPr>
              <w:t>1008</w:t>
            </w:r>
          </w:p>
        </w:tc>
        <w:tc>
          <w:tcPr>
            <w:tcW w:w="415" w:type="pct"/>
            <w:tcBorders>
              <w:top w:val="nil"/>
              <w:left w:val="nil"/>
              <w:bottom w:val="single" w:sz="4" w:space="0" w:color="auto"/>
              <w:right w:val="single" w:sz="4" w:space="0" w:color="auto"/>
            </w:tcBorders>
            <w:shd w:val="clear" w:color="auto" w:fill="auto"/>
            <w:noWrap/>
            <w:vAlign w:val="bottom"/>
            <w:hideMark/>
          </w:tcPr>
          <w:p w:rsidR="001A39EA" w:rsidRDefault="001A39EA">
            <w:pPr>
              <w:jc w:val="center"/>
              <w:rPr>
                <w:rFonts w:ascii="宋体" w:eastAsia="宋体" w:hAnsi="宋体" w:cs="宋体"/>
                <w:color w:val="000000"/>
                <w:sz w:val="22"/>
              </w:rPr>
            </w:pPr>
            <w:r>
              <w:rPr>
                <w:rFonts w:hint="eastAsia"/>
                <w:color w:val="000000"/>
                <w:sz w:val="22"/>
              </w:rPr>
              <w:t>1</w:t>
            </w:r>
          </w:p>
        </w:tc>
        <w:tc>
          <w:tcPr>
            <w:tcW w:w="524" w:type="pct"/>
            <w:tcBorders>
              <w:top w:val="nil"/>
              <w:left w:val="nil"/>
              <w:bottom w:val="single" w:sz="4" w:space="0" w:color="auto"/>
              <w:right w:val="single" w:sz="4" w:space="0" w:color="auto"/>
            </w:tcBorders>
            <w:shd w:val="clear" w:color="auto" w:fill="auto"/>
            <w:noWrap/>
            <w:vAlign w:val="center"/>
            <w:hideMark/>
          </w:tcPr>
          <w:p w:rsidR="001A39EA" w:rsidRDefault="001A39EA">
            <w:pPr>
              <w:jc w:val="center"/>
              <w:rPr>
                <w:rFonts w:ascii="宋体" w:eastAsia="宋体" w:hAnsi="宋体" w:cs="宋体"/>
                <w:color w:val="000000"/>
                <w:sz w:val="22"/>
              </w:rPr>
            </w:pPr>
            <w:r>
              <w:rPr>
                <w:rFonts w:hint="eastAsia"/>
                <w:color w:val="000000"/>
                <w:sz w:val="22"/>
              </w:rPr>
              <w:t>10.86%</w:t>
            </w:r>
          </w:p>
        </w:tc>
      </w:tr>
      <w:tr w:rsidR="001A39EA" w:rsidRPr="00AA56F3" w:rsidTr="00F705A7">
        <w:trPr>
          <w:trHeight w:val="270"/>
        </w:trPr>
        <w:tc>
          <w:tcPr>
            <w:tcW w:w="564" w:type="pct"/>
            <w:tcBorders>
              <w:top w:val="nil"/>
              <w:left w:val="single" w:sz="4" w:space="0" w:color="auto"/>
              <w:bottom w:val="single" w:sz="4" w:space="0" w:color="auto"/>
              <w:right w:val="single" w:sz="4" w:space="0" w:color="auto"/>
            </w:tcBorders>
            <w:shd w:val="clear" w:color="000000" w:fill="EBF1DE"/>
            <w:noWrap/>
            <w:vAlign w:val="center"/>
            <w:hideMark/>
          </w:tcPr>
          <w:p w:rsidR="001A39EA" w:rsidRPr="00A8388F" w:rsidRDefault="001A39EA" w:rsidP="00AA56F3">
            <w:pPr>
              <w:widowControl/>
              <w:jc w:val="center"/>
              <w:rPr>
                <w:rFonts w:ascii="宋体" w:eastAsia="宋体" w:hAnsi="宋体" w:cs="宋体"/>
                <w:b/>
                <w:color w:val="000000"/>
                <w:kern w:val="0"/>
                <w:szCs w:val="21"/>
              </w:rPr>
            </w:pPr>
            <w:r w:rsidRPr="00A8388F">
              <w:rPr>
                <w:rFonts w:ascii="宋体" w:eastAsia="宋体" w:hAnsi="宋体" w:cs="宋体" w:hint="eastAsia"/>
                <w:b/>
                <w:color w:val="000000"/>
                <w:kern w:val="0"/>
                <w:szCs w:val="21"/>
              </w:rPr>
              <w:t>商住</w:t>
            </w:r>
          </w:p>
        </w:tc>
        <w:tc>
          <w:tcPr>
            <w:tcW w:w="333" w:type="pct"/>
            <w:tcBorders>
              <w:top w:val="nil"/>
              <w:left w:val="nil"/>
              <w:bottom w:val="single" w:sz="4" w:space="0" w:color="auto"/>
              <w:right w:val="single" w:sz="4" w:space="0" w:color="auto"/>
            </w:tcBorders>
            <w:shd w:val="clear" w:color="000000" w:fill="EBF1DE"/>
            <w:noWrap/>
            <w:vAlign w:val="center"/>
            <w:hideMark/>
          </w:tcPr>
          <w:p w:rsidR="001A39EA" w:rsidRDefault="001A39EA">
            <w:pPr>
              <w:jc w:val="center"/>
              <w:rPr>
                <w:rFonts w:ascii="宋体" w:eastAsia="宋体" w:hAnsi="宋体" w:cs="宋体"/>
                <w:color w:val="000000"/>
                <w:sz w:val="22"/>
              </w:rPr>
            </w:pPr>
            <w:r>
              <w:rPr>
                <w:rFonts w:hint="eastAsia"/>
                <w:color w:val="000000"/>
                <w:sz w:val="22"/>
              </w:rPr>
              <w:t>15</w:t>
            </w:r>
          </w:p>
        </w:tc>
        <w:tc>
          <w:tcPr>
            <w:tcW w:w="516" w:type="pct"/>
            <w:tcBorders>
              <w:top w:val="nil"/>
              <w:left w:val="nil"/>
              <w:bottom w:val="single" w:sz="4" w:space="0" w:color="auto"/>
              <w:right w:val="single" w:sz="4" w:space="0" w:color="auto"/>
            </w:tcBorders>
            <w:shd w:val="clear" w:color="000000" w:fill="EBF1DE"/>
            <w:noWrap/>
            <w:vAlign w:val="center"/>
            <w:hideMark/>
          </w:tcPr>
          <w:p w:rsidR="001A39EA" w:rsidRDefault="001A39EA">
            <w:pPr>
              <w:jc w:val="center"/>
              <w:rPr>
                <w:rFonts w:ascii="宋体" w:eastAsia="宋体" w:hAnsi="宋体" w:cs="宋体"/>
                <w:color w:val="000000"/>
                <w:sz w:val="22"/>
              </w:rPr>
            </w:pPr>
            <w:r>
              <w:rPr>
                <w:rFonts w:hint="eastAsia"/>
                <w:color w:val="000000"/>
                <w:sz w:val="22"/>
              </w:rPr>
              <w:t>39.79</w:t>
            </w:r>
          </w:p>
        </w:tc>
        <w:tc>
          <w:tcPr>
            <w:tcW w:w="566" w:type="pct"/>
            <w:tcBorders>
              <w:top w:val="nil"/>
              <w:left w:val="nil"/>
              <w:bottom w:val="single" w:sz="4" w:space="0" w:color="auto"/>
              <w:right w:val="single" w:sz="4" w:space="0" w:color="auto"/>
            </w:tcBorders>
            <w:shd w:val="clear" w:color="000000" w:fill="EBF1DE"/>
            <w:noWrap/>
            <w:vAlign w:val="center"/>
            <w:hideMark/>
          </w:tcPr>
          <w:p w:rsidR="001A39EA" w:rsidRDefault="001A39EA">
            <w:pPr>
              <w:jc w:val="center"/>
              <w:rPr>
                <w:rFonts w:ascii="宋体" w:eastAsia="宋体" w:hAnsi="宋体" w:cs="宋体"/>
                <w:color w:val="000000"/>
                <w:sz w:val="22"/>
              </w:rPr>
            </w:pPr>
            <w:r>
              <w:rPr>
                <w:rFonts w:hint="eastAsia"/>
                <w:color w:val="000000"/>
                <w:sz w:val="22"/>
              </w:rPr>
              <w:t>57.29</w:t>
            </w:r>
          </w:p>
        </w:tc>
        <w:tc>
          <w:tcPr>
            <w:tcW w:w="583" w:type="pct"/>
            <w:tcBorders>
              <w:top w:val="nil"/>
              <w:left w:val="nil"/>
              <w:bottom w:val="single" w:sz="4" w:space="0" w:color="auto"/>
              <w:right w:val="single" w:sz="4" w:space="0" w:color="auto"/>
            </w:tcBorders>
            <w:shd w:val="clear" w:color="000000" w:fill="EBF1DE"/>
            <w:noWrap/>
            <w:vAlign w:val="bottom"/>
            <w:hideMark/>
          </w:tcPr>
          <w:p w:rsidR="001A39EA" w:rsidRDefault="001A39EA">
            <w:pPr>
              <w:jc w:val="center"/>
              <w:rPr>
                <w:rFonts w:ascii="宋体" w:eastAsia="宋体" w:hAnsi="宋体" w:cs="宋体"/>
                <w:color w:val="000000"/>
                <w:sz w:val="22"/>
              </w:rPr>
            </w:pPr>
            <w:r>
              <w:rPr>
                <w:rFonts w:hint="eastAsia"/>
                <w:color w:val="000000"/>
                <w:sz w:val="22"/>
              </w:rPr>
              <w:t xml:space="preserve">3.82 </w:t>
            </w:r>
          </w:p>
        </w:tc>
        <w:tc>
          <w:tcPr>
            <w:tcW w:w="583" w:type="pct"/>
            <w:tcBorders>
              <w:top w:val="nil"/>
              <w:left w:val="nil"/>
              <w:bottom w:val="single" w:sz="4" w:space="0" w:color="auto"/>
              <w:right w:val="single" w:sz="4" w:space="0" w:color="auto"/>
            </w:tcBorders>
            <w:shd w:val="clear" w:color="000000" w:fill="EBF1DE"/>
            <w:noWrap/>
            <w:vAlign w:val="center"/>
            <w:hideMark/>
          </w:tcPr>
          <w:p w:rsidR="001A39EA" w:rsidRDefault="001A39EA">
            <w:pPr>
              <w:jc w:val="center"/>
              <w:rPr>
                <w:rFonts w:ascii="宋体" w:eastAsia="宋体" w:hAnsi="宋体" w:cs="宋体"/>
                <w:color w:val="000000"/>
                <w:sz w:val="22"/>
              </w:rPr>
            </w:pPr>
            <w:r>
              <w:rPr>
                <w:rFonts w:hint="eastAsia"/>
                <w:color w:val="000000"/>
                <w:sz w:val="22"/>
              </w:rPr>
              <w:t>155.17</w:t>
            </w:r>
          </w:p>
        </w:tc>
        <w:tc>
          <w:tcPr>
            <w:tcW w:w="500" w:type="pct"/>
            <w:tcBorders>
              <w:top w:val="nil"/>
              <w:left w:val="nil"/>
              <w:bottom w:val="single" w:sz="4" w:space="0" w:color="auto"/>
              <w:right w:val="single" w:sz="4" w:space="0" w:color="auto"/>
            </w:tcBorders>
            <w:shd w:val="clear" w:color="000000" w:fill="EBF1DE"/>
            <w:noWrap/>
            <w:vAlign w:val="center"/>
            <w:hideMark/>
          </w:tcPr>
          <w:p w:rsidR="001A39EA" w:rsidRDefault="001A39EA">
            <w:pPr>
              <w:jc w:val="center"/>
              <w:rPr>
                <w:rFonts w:ascii="宋体" w:eastAsia="宋体" w:hAnsi="宋体" w:cs="宋体"/>
                <w:color w:val="000000"/>
                <w:sz w:val="22"/>
              </w:rPr>
            </w:pPr>
            <w:r>
              <w:rPr>
                <w:rFonts w:hint="eastAsia"/>
                <w:color w:val="000000"/>
                <w:sz w:val="22"/>
              </w:rPr>
              <w:t xml:space="preserve">2.71 </w:t>
            </w:r>
          </w:p>
        </w:tc>
        <w:tc>
          <w:tcPr>
            <w:tcW w:w="416" w:type="pct"/>
            <w:tcBorders>
              <w:top w:val="nil"/>
              <w:left w:val="nil"/>
              <w:bottom w:val="single" w:sz="4" w:space="0" w:color="auto"/>
              <w:right w:val="single" w:sz="4" w:space="0" w:color="auto"/>
            </w:tcBorders>
            <w:shd w:val="clear" w:color="000000" w:fill="EBF1DE"/>
            <w:noWrap/>
            <w:vAlign w:val="center"/>
            <w:hideMark/>
          </w:tcPr>
          <w:p w:rsidR="001A39EA" w:rsidRDefault="001A39EA">
            <w:pPr>
              <w:jc w:val="center"/>
              <w:rPr>
                <w:rFonts w:ascii="宋体" w:eastAsia="宋体" w:hAnsi="宋体" w:cs="宋体"/>
                <w:color w:val="000000"/>
                <w:sz w:val="22"/>
              </w:rPr>
            </w:pPr>
            <w:r>
              <w:rPr>
                <w:rFonts w:hint="eastAsia"/>
                <w:color w:val="000000"/>
                <w:sz w:val="22"/>
              </w:rPr>
              <w:t>2564</w:t>
            </w:r>
          </w:p>
        </w:tc>
        <w:tc>
          <w:tcPr>
            <w:tcW w:w="415" w:type="pct"/>
            <w:tcBorders>
              <w:top w:val="nil"/>
              <w:left w:val="nil"/>
              <w:bottom w:val="single" w:sz="4" w:space="0" w:color="auto"/>
              <w:right w:val="single" w:sz="4" w:space="0" w:color="auto"/>
            </w:tcBorders>
            <w:shd w:val="clear" w:color="000000" w:fill="EBF1DE"/>
            <w:noWrap/>
            <w:vAlign w:val="bottom"/>
            <w:hideMark/>
          </w:tcPr>
          <w:p w:rsidR="001A39EA" w:rsidRDefault="001A39EA">
            <w:pPr>
              <w:jc w:val="center"/>
              <w:rPr>
                <w:rFonts w:ascii="宋体" w:eastAsia="宋体" w:hAnsi="宋体" w:cs="宋体"/>
                <w:color w:val="000000"/>
                <w:sz w:val="22"/>
              </w:rPr>
            </w:pPr>
            <w:r>
              <w:rPr>
                <w:rFonts w:hint="eastAsia"/>
                <w:color w:val="000000"/>
                <w:sz w:val="22"/>
              </w:rPr>
              <w:t>6</w:t>
            </w:r>
          </w:p>
        </w:tc>
        <w:tc>
          <w:tcPr>
            <w:tcW w:w="524" w:type="pct"/>
            <w:tcBorders>
              <w:top w:val="nil"/>
              <w:left w:val="nil"/>
              <w:bottom w:val="single" w:sz="4" w:space="0" w:color="auto"/>
              <w:right w:val="single" w:sz="4" w:space="0" w:color="auto"/>
            </w:tcBorders>
            <w:shd w:val="clear" w:color="000000" w:fill="EBF1DE"/>
            <w:noWrap/>
            <w:vAlign w:val="center"/>
            <w:hideMark/>
          </w:tcPr>
          <w:p w:rsidR="001A39EA" w:rsidRDefault="001A39EA">
            <w:pPr>
              <w:jc w:val="center"/>
              <w:rPr>
                <w:rFonts w:ascii="宋体" w:eastAsia="宋体" w:hAnsi="宋体" w:cs="宋体"/>
                <w:color w:val="000000"/>
                <w:sz w:val="22"/>
              </w:rPr>
            </w:pPr>
            <w:r>
              <w:rPr>
                <w:rFonts w:hint="eastAsia"/>
                <w:color w:val="000000"/>
                <w:sz w:val="22"/>
              </w:rPr>
              <w:t>3.48%</w:t>
            </w:r>
          </w:p>
        </w:tc>
      </w:tr>
      <w:tr w:rsidR="001A39EA" w:rsidRPr="00AA56F3" w:rsidTr="00F705A7">
        <w:trPr>
          <w:trHeight w:val="27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rsidR="001A39EA" w:rsidRPr="00A8388F" w:rsidRDefault="001A39EA" w:rsidP="00AA56F3">
            <w:pPr>
              <w:widowControl/>
              <w:jc w:val="center"/>
              <w:rPr>
                <w:rFonts w:ascii="宋体" w:eastAsia="宋体" w:hAnsi="宋体" w:cs="宋体"/>
                <w:b/>
                <w:color w:val="000000"/>
                <w:kern w:val="0"/>
                <w:szCs w:val="21"/>
              </w:rPr>
            </w:pPr>
            <w:r w:rsidRPr="00A8388F">
              <w:rPr>
                <w:rFonts w:ascii="宋体" w:eastAsia="宋体" w:hAnsi="宋体" w:cs="宋体" w:hint="eastAsia"/>
                <w:b/>
                <w:color w:val="000000"/>
                <w:kern w:val="0"/>
                <w:szCs w:val="21"/>
              </w:rPr>
              <w:t>商服</w:t>
            </w:r>
          </w:p>
        </w:tc>
        <w:tc>
          <w:tcPr>
            <w:tcW w:w="333" w:type="pct"/>
            <w:tcBorders>
              <w:top w:val="nil"/>
              <w:left w:val="nil"/>
              <w:bottom w:val="single" w:sz="4" w:space="0" w:color="auto"/>
              <w:right w:val="single" w:sz="4" w:space="0" w:color="auto"/>
            </w:tcBorders>
            <w:shd w:val="clear" w:color="auto" w:fill="auto"/>
            <w:noWrap/>
            <w:vAlign w:val="center"/>
            <w:hideMark/>
          </w:tcPr>
          <w:p w:rsidR="001A39EA" w:rsidRDefault="001A39EA">
            <w:pPr>
              <w:jc w:val="center"/>
              <w:rPr>
                <w:rFonts w:ascii="宋体" w:eastAsia="宋体" w:hAnsi="宋体" w:cs="宋体"/>
                <w:color w:val="000000"/>
                <w:sz w:val="22"/>
              </w:rPr>
            </w:pPr>
            <w:r>
              <w:rPr>
                <w:rFonts w:hint="eastAsia"/>
                <w:color w:val="000000"/>
                <w:sz w:val="22"/>
              </w:rPr>
              <w:t>5</w:t>
            </w:r>
          </w:p>
        </w:tc>
        <w:tc>
          <w:tcPr>
            <w:tcW w:w="516" w:type="pct"/>
            <w:tcBorders>
              <w:top w:val="nil"/>
              <w:left w:val="nil"/>
              <w:bottom w:val="single" w:sz="4" w:space="0" w:color="auto"/>
              <w:right w:val="single" w:sz="4" w:space="0" w:color="auto"/>
            </w:tcBorders>
            <w:shd w:val="clear" w:color="auto" w:fill="auto"/>
            <w:noWrap/>
            <w:vAlign w:val="center"/>
            <w:hideMark/>
          </w:tcPr>
          <w:p w:rsidR="001A39EA" w:rsidRDefault="001A39EA">
            <w:pPr>
              <w:jc w:val="center"/>
              <w:rPr>
                <w:rFonts w:ascii="宋体" w:eastAsia="宋体" w:hAnsi="宋体" w:cs="宋体"/>
                <w:color w:val="000000"/>
                <w:sz w:val="22"/>
              </w:rPr>
            </w:pPr>
            <w:r>
              <w:rPr>
                <w:rFonts w:hint="eastAsia"/>
                <w:color w:val="000000"/>
                <w:sz w:val="22"/>
              </w:rPr>
              <w:t>0.81</w:t>
            </w:r>
          </w:p>
        </w:tc>
        <w:tc>
          <w:tcPr>
            <w:tcW w:w="566" w:type="pct"/>
            <w:tcBorders>
              <w:top w:val="nil"/>
              <w:left w:val="nil"/>
              <w:bottom w:val="single" w:sz="4" w:space="0" w:color="auto"/>
              <w:right w:val="single" w:sz="4" w:space="0" w:color="auto"/>
            </w:tcBorders>
            <w:shd w:val="clear" w:color="auto" w:fill="auto"/>
            <w:noWrap/>
            <w:vAlign w:val="center"/>
            <w:hideMark/>
          </w:tcPr>
          <w:p w:rsidR="001A39EA" w:rsidRDefault="001A39EA">
            <w:pPr>
              <w:jc w:val="center"/>
              <w:rPr>
                <w:rFonts w:ascii="宋体" w:eastAsia="宋体" w:hAnsi="宋体" w:cs="宋体"/>
                <w:color w:val="000000"/>
                <w:sz w:val="22"/>
              </w:rPr>
            </w:pPr>
            <w:r>
              <w:rPr>
                <w:rFonts w:hint="eastAsia"/>
                <w:color w:val="000000"/>
                <w:sz w:val="22"/>
              </w:rPr>
              <w:t>1.82</w:t>
            </w:r>
          </w:p>
        </w:tc>
        <w:tc>
          <w:tcPr>
            <w:tcW w:w="583" w:type="pct"/>
            <w:tcBorders>
              <w:top w:val="nil"/>
              <w:left w:val="nil"/>
              <w:bottom w:val="single" w:sz="4" w:space="0" w:color="auto"/>
              <w:right w:val="single" w:sz="4" w:space="0" w:color="auto"/>
            </w:tcBorders>
            <w:shd w:val="clear" w:color="auto" w:fill="auto"/>
            <w:noWrap/>
            <w:vAlign w:val="bottom"/>
            <w:hideMark/>
          </w:tcPr>
          <w:p w:rsidR="001A39EA" w:rsidRDefault="001A39EA">
            <w:pPr>
              <w:jc w:val="center"/>
              <w:rPr>
                <w:rFonts w:ascii="宋体" w:eastAsia="宋体" w:hAnsi="宋体" w:cs="宋体"/>
                <w:color w:val="000000"/>
                <w:sz w:val="22"/>
              </w:rPr>
            </w:pPr>
            <w:r>
              <w:rPr>
                <w:rFonts w:hint="eastAsia"/>
                <w:color w:val="000000"/>
                <w:sz w:val="22"/>
              </w:rPr>
              <w:t xml:space="preserve">0.36 </w:t>
            </w:r>
          </w:p>
        </w:tc>
        <w:tc>
          <w:tcPr>
            <w:tcW w:w="583" w:type="pct"/>
            <w:tcBorders>
              <w:top w:val="nil"/>
              <w:left w:val="nil"/>
              <w:bottom w:val="single" w:sz="4" w:space="0" w:color="auto"/>
              <w:right w:val="single" w:sz="4" w:space="0" w:color="auto"/>
            </w:tcBorders>
            <w:shd w:val="clear" w:color="auto" w:fill="auto"/>
            <w:noWrap/>
            <w:vAlign w:val="center"/>
            <w:hideMark/>
          </w:tcPr>
          <w:p w:rsidR="001A39EA" w:rsidRDefault="001A39EA">
            <w:pPr>
              <w:jc w:val="center"/>
              <w:rPr>
                <w:rFonts w:ascii="宋体" w:eastAsia="宋体" w:hAnsi="宋体" w:cs="宋体"/>
                <w:color w:val="000000"/>
                <w:sz w:val="22"/>
              </w:rPr>
            </w:pPr>
            <w:r>
              <w:rPr>
                <w:rFonts w:hint="eastAsia"/>
                <w:color w:val="000000"/>
                <w:sz w:val="22"/>
              </w:rPr>
              <w:t>1.4</w:t>
            </w:r>
          </w:p>
        </w:tc>
        <w:tc>
          <w:tcPr>
            <w:tcW w:w="500" w:type="pct"/>
            <w:tcBorders>
              <w:top w:val="nil"/>
              <w:left w:val="nil"/>
              <w:bottom w:val="single" w:sz="4" w:space="0" w:color="auto"/>
              <w:right w:val="single" w:sz="4" w:space="0" w:color="auto"/>
            </w:tcBorders>
            <w:shd w:val="clear" w:color="auto" w:fill="auto"/>
            <w:noWrap/>
            <w:vAlign w:val="center"/>
            <w:hideMark/>
          </w:tcPr>
          <w:p w:rsidR="001A39EA" w:rsidRDefault="001A39EA">
            <w:pPr>
              <w:jc w:val="center"/>
              <w:rPr>
                <w:rFonts w:ascii="宋体" w:eastAsia="宋体" w:hAnsi="宋体" w:cs="宋体"/>
                <w:color w:val="000000"/>
                <w:sz w:val="22"/>
              </w:rPr>
            </w:pPr>
            <w:r>
              <w:rPr>
                <w:rFonts w:hint="eastAsia"/>
                <w:color w:val="000000"/>
                <w:sz w:val="22"/>
              </w:rPr>
              <w:t xml:space="preserve">0.77 </w:t>
            </w:r>
          </w:p>
        </w:tc>
        <w:tc>
          <w:tcPr>
            <w:tcW w:w="416" w:type="pct"/>
            <w:tcBorders>
              <w:top w:val="nil"/>
              <w:left w:val="nil"/>
              <w:bottom w:val="single" w:sz="4" w:space="0" w:color="auto"/>
              <w:right w:val="single" w:sz="4" w:space="0" w:color="auto"/>
            </w:tcBorders>
            <w:shd w:val="clear" w:color="auto" w:fill="auto"/>
            <w:noWrap/>
            <w:vAlign w:val="center"/>
            <w:hideMark/>
          </w:tcPr>
          <w:p w:rsidR="001A39EA" w:rsidRDefault="001A39EA">
            <w:pPr>
              <w:jc w:val="center"/>
              <w:rPr>
                <w:rFonts w:ascii="宋体" w:eastAsia="宋体" w:hAnsi="宋体" w:cs="宋体"/>
                <w:color w:val="000000"/>
                <w:sz w:val="22"/>
              </w:rPr>
            </w:pPr>
            <w:r>
              <w:rPr>
                <w:rFonts w:hint="eastAsia"/>
                <w:color w:val="000000"/>
                <w:sz w:val="22"/>
              </w:rPr>
              <w:t>5785</w:t>
            </w:r>
          </w:p>
        </w:tc>
        <w:tc>
          <w:tcPr>
            <w:tcW w:w="415" w:type="pct"/>
            <w:tcBorders>
              <w:top w:val="nil"/>
              <w:left w:val="nil"/>
              <w:bottom w:val="single" w:sz="4" w:space="0" w:color="auto"/>
              <w:right w:val="single" w:sz="4" w:space="0" w:color="auto"/>
            </w:tcBorders>
            <w:shd w:val="clear" w:color="auto" w:fill="auto"/>
            <w:noWrap/>
            <w:vAlign w:val="center"/>
            <w:hideMark/>
          </w:tcPr>
          <w:p w:rsidR="001A39EA" w:rsidRDefault="001A39EA">
            <w:pPr>
              <w:jc w:val="center"/>
              <w:rPr>
                <w:rFonts w:ascii="宋体" w:eastAsia="宋体" w:hAnsi="宋体" w:cs="宋体"/>
                <w:color w:val="000000"/>
                <w:sz w:val="22"/>
              </w:rPr>
            </w:pPr>
            <w:r>
              <w:rPr>
                <w:rFonts w:hint="eastAsia"/>
                <w:color w:val="000000"/>
                <w:sz w:val="22"/>
              </w:rPr>
              <w:t>3</w:t>
            </w:r>
          </w:p>
        </w:tc>
        <w:tc>
          <w:tcPr>
            <w:tcW w:w="524" w:type="pct"/>
            <w:tcBorders>
              <w:top w:val="nil"/>
              <w:left w:val="nil"/>
              <w:bottom w:val="single" w:sz="4" w:space="0" w:color="auto"/>
              <w:right w:val="single" w:sz="4" w:space="0" w:color="auto"/>
            </w:tcBorders>
            <w:shd w:val="clear" w:color="auto" w:fill="auto"/>
            <w:noWrap/>
            <w:vAlign w:val="center"/>
            <w:hideMark/>
          </w:tcPr>
          <w:p w:rsidR="001A39EA" w:rsidRDefault="001A39EA">
            <w:pPr>
              <w:jc w:val="center"/>
              <w:rPr>
                <w:rFonts w:ascii="宋体" w:eastAsia="宋体" w:hAnsi="宋体" w:cs="宋体"/>
                <w:color w:val="000000"/>
                <w:sz w:val="22"/>
              </w:rPr>
            </w:pPr>
            <w:r>
              <w:rPr>
                <w:rFonts w:hint="eastAsia"/>
                <w:color w:val="000000"/>
                <w:sz w:val="22"/>
              </w:rPr>
              <w:t>3.00%</w:t>
            </w:r>
          </w:p>
        </w:tc>
      </w:tr>
      <w:tr w:rsidR="001A39EA" w:rsidRPr="00AA56F3" w:rsidTr="00312C38">
        <w:trPr>
          <w:trHeight w:val="270"/>
        </w:trPr>
        <w:tc>
          <w:tcPr>
            <w:tcW w:w="564" w:type="pct"/>
            <w:tcBorders>
              <w:top w:val="nil"/>
              <w:left w:val="single" w:sz="4" w:space="0" w:color="auto"/>
              <w:bottom w:val="single" w:sz="4" w:space="0" w:color="auto"/>
              <w:right w:val="single" w:sz="4" w:space="0" w:color="auto"/>
            </w:tcBorders>
            <w:shd w:val="clear" w:color="000000" w:fill="EBF1DE"/>
            <w:noWrap/>
            <w:vAlign w:val="center"/>
            <w:hideMark/>
          </w:tcPr>
          <w:p w:rsidR="001A39EA" w:rsidRPr="00A8388F" w:rsidRDefault="001A39EA" w:rsidP="00AA56F3">
            <w:pPr>
              <w:widowControl/>
              <w:jc w:val="center"/>
              <w:rPr>
                <w:rFonts w:ascii="宋体" w:eastAsia="宋体" w:hAnsi="宋体" w:cs="宋体"/>
                <w:b/>
                <w:color w:val="000000"/>
                <w:kern w:val="0"/>
                <w:szCs w:val="21"/>
              </w:rPr>
            </w:pPr>
            <w:r w:rsidRPr="00A8388F">
              <w:rPr>
                <w:rFonts w:ascii="宋体" w:eastAsia="宋体" w:hAnsi="宋体" w:cs="宋体" w:hint="eastAsia"/>
                <w:b/>
                <w:color w:val="000000"/>
                <w:kern w:val="0"/>
                <w:szCs w:val="21"/>
              </w:rPr>
              <w:t>总计</w:t>
            </w:r>
          </w:p>
        </w:tc>
        <w:tc>
          <w:tcPr>
            <w:tcW w:w="333" w:type="pct"/>
            <w:tcBorders>
              <w:top w:val="nil"/>
              <w:left w:val="nil"/>
              <w:bottom w:val="single" w:sz="4" w:space="0" w:color="auto"/>
              <w:right w:val="single" w:sz="4" w:space="0" w:color="auto"/>
            </w:tcBorders>
            <w:shd w:val="clear" w:color="000000" w:fill="EBF1DE"/>
            <w:noWrap/>
            <w:vAlign w:val="center"/>
            <w:hideMark/>
          </w:tcPr>
          <w:p w:rsidR="001A39EA" w:rsidRDefault="001A39EA">
            <w:pPr>
              <w:jc w:val="center"/>
              <w:rPr>
                <w:rFonts w:ascii="宋体" w:eastAsia="宋体" w:hAnsi="宋体" w:cs="宋体"/>
                <w:color w:val="000000"/>
                <w:sz w:val="22"/>
              </w:rPr>
            </w:pPr>
            <w:r>
              <w:rPr>
                <w:rFonts w:hint="eastAsia"/>
                <w:color w:val="000000"/>
                <w:sz w:val="22"/>
              </w:rPr>
              <w:t>22</w:t>
            </w:r>
          </w:p>
        </w:tc>
        <w:tc>
          <w:tcPr>
            <w:tcW w:w="516" w:type="pct"/>
            <w:tcBorders>
              <w:top w:val="nil"/>
              <w:left w:val="nil"/>
              <w:bottom w:val="single" w:sz="4" w:space="0" w:color="auto"/>
              <w:right w:val="single" w:sz="4" w:space="0" w:color="auto"/>
            </w:tcBorders>
            <w:shd w:val="clear" w:color="000000" w:fill="EBF1DE"/>
            <w:noWrap/>
            <w:vAlign w:val="center"/>
            <w:hideMark/>
          </w:tcPr>
          <w:p w:rsidR="001A39EA" w:rsidRDefault="001A39EA">
            <w:pPr>
              <w:jc w:val="center"/>
              <w:rPr>
                <w:rFonts w:ascii="宋体" w:eastAsia="宋体" w:hAnsi="宋体" w:cs="宋体"/>
                <w:color w:val="000000"/>
                <w:sz w:val="22"/>
              </w:rPr>
            </w:pPr>
            <w:r>
              <w:rPr>
                <w:rFonts w:hint="eastAsia"/>
                <w:color w:val="000000"/>
                <w:sz w:val="22"/>
              </w:rPr>
              <w:t>42.79</w:t>
            </w:r>
          </w:p>
        </w:tc>
        <w:tc>
          <w:tcPr>
            <w:tcW w:w="566" w:type="pct"/>
            <w:tcBorders>
              <w:top w:val="nil"/>
              <w:left w:val="nil"/>
              <w:bottom w:val="single" w:sz="4" w:space="0" w:color="auto"/>
              <w:right w:val="single" w:sz="4" w:space="0" w:color="auto"/>
            </w:tcBorders>
            <w:shd w:val="clear" w:color="000000" w:fill="EBF1DE"/>
            <w:noWrap/>
            <w:vAlign w:val="center"/>
            <w:hideMark/>
          </w:tcPr>
          <w:p w:rsidR="001A39EA" w:rsidRDefault="001A39EA">
            <w:pPr>
              <w:jc w:val="center"/>
              <w:rPr>
                <w:rFonts w:ascii="宋体" w:eastAsia="宋体" w:hAnsi="宋体" w:cs="宋体"/>
                <w:color w:val="000000"/>
                <w:sz w:val="22"/>
              </w:rPr>
            </w:pPr>
            <w:r>
              <w:rPr>
                <w:rFonts w:hint="eastAsia"/>
                <w:color w:val="000000"/>
                <w:sz w:val="22"/>
              </w:rPr>
              <w:t>66.56</w:t>
            </w:r>
          </w:p>
        </w:tc>
        <w:tc>
          <w:tcPr>
            <w:tcW w:w="583" w:type="pct"/>
            <w:tcBorders>
              <w:top w:val="nil"/>
              <w:left w:val="nil"/>
              <w:bottom w:val="single" w:sz="4" w:space="0" w:color="auto"/>
              <w:right w:val="single" w:sz="4" w:space="0" w:color="auto"/>
            </w:tcBorders>
            <w:shd w:val="clear" w:color="000000" w:fill="EBF1DE"/>
            <w:noWrap/>
            <w:vAlign w:val="bottom"/>
            <w:hideMark/>
          </w:tcPr>
          <w:p w:rsidR="001A39EA" w:rsidRDefault="001A39EA">
            <w:pPr>
              <w:jc w:val="center"/>
              <w:rPr>
                <w:rFonts w:ascii="宋体" w:eastAsia="宋体" w:hAnsi="宋体" w:cs="宋体"/>
                <w:color w:val="000000"/>
                <w:sz w:val="22"/>
              </w:rPr>
            </w:pPr>
            <w:r>
              <w:rPr>
                <w:rFonts w:hint="eastAsia"/>
                <w:color w:val="000000"/>
                <w:sz w:val="22"/>
              </w:rPr>
              <w:t xml:space="preserve">3.03 </w:t>
            </w:r>
          </w:p>
        </w:tc>
        <w:tc>
          <w:tcPr>
            <w:tcW w:w="583" w:type="pct"/>
            <w:tcBorders>
              <w:top w:val="nil"/>
              <w:left w:val="nil"/>
              <w:bottom w:val="single" w:sz="4" w:space="0" w:color="auto"/>
              <w:right w:val="single" w:sz="4" w:space="0" w:color="auto"/>
            </w:tcBorders>
            <w:shd w:val="clear" w:color="000000" w:fill="EBF1DE"/>
            <w:noWrap/>
            <w:vAlign w:val="center"/>
            <w:hideMark/>
          </w:tcPr>
          <w:p w:rsidR="001A39EA" w:rsidRDefault="001A39EA">
            <w:pPr>
              <w:jc w:val="center"/>
              <w:rPr>
                <w:rFonts w:ascii="宋体" w:eastAsia="宋体" w:hAnsi="宋体" w:cs="宋体"/>
                <w:color w:val="000000"/>
                <w:sz w:val="22"/>
              </w:rPr>
            </w:pPr>
            <w:r>
              <w:rPr>
                <w:rFonts w:hint="eastAsia"/>
                <w:color w:val="000000"/>
                <w:sz w:val="22"/>
              </w:rPr>
              <w:t>178.28</w:t>
            </w:r>
          </w:p>
        </w:tc>
        <w:tc>
          <w:tcPr>
            <w:tcW w:w="500" w:type="pct"/>
            <w:tcBorders>
              <w:top w:val="nil"/>
              <w:left w:val="nil"/>
              <w:bottom w:val="single" w:sz="4" w:space="0" w:color="auto"/>
              <w:right w:val="single" w:sz="4" w:space="0" w:color="auto"/>
            </w:tcBorders>
            <w:shd w:val="clear" w:color="000000" w:fill="EBF1DE"/>
            <w:noWrap/>
            <w:vAlign w:val="center"/>
            <w:hideMark/>
          </w:tcPr>
          <w:p w:rsidR="001A39EA" w:rsidRDefault="001A39EA">
            <w:pPr>
              <w:jc w:val="center"/>
              <w:rPr>
                <w:rFonts w:ascii="宋体" w:eastAsia="宋体" w:hAnsi="宋体" w:cs="宋体"/>
                <w:color w:val="000000"/>
                <w:sz w:val="22"/>
              </w:rPr>
            </w:pPr>
            <w:r>
              <w:rPr>
                <w:rFonts w:hint="eastAsia"/>
                <w:color w:val="000000"/>
                <w:sz w:val="22"/>
              </w:rPr>
              <w:t xml:space="preserve">2.68 </w:t>
            </w:r>
          </w:p>
        </w:tc>
        <w:tc>
          <w:tcPr>
            <w:tcW w:w="416" w:type="pct"/>
            <w:tcBorders>
              <w:top w:val="nil"/>
              <w:left w:val="nil"/>
              <w:bottom w:val="single" w:sz="4" w:space="0" w:color="auto"/>
              <w:right w:val="single" w:sz="4" w:space="0" w:color="auto"/>
            </w:tcBorders>
            <w:shd w:val="clear" w:color="000000" w:fill="EBF1DE"/>
            <w:noWrap/>
            <w:vAlign w:val="center"/>
            <w:hideMark/>
          </w:tcPr>
          <w:p w:rsidR="001A39EA" w:rsidRDefault="001A39EA">
            <w:pPr>
              <w:jc w:val="center"/>
              <w:rPr>
                <w:rFonts w:ascii="宋体" w:eastAsia="宋体" w:hAnsi="宋体" w:cs="宋体"/>
                <w:color w:val="000000"/>
                <w:sz w:val="22"/>
              </w:rPr>
            </w:pPr>
            <w:r>
              <w:rPr>
                <w:rFonts w:hint="eastAsia"/>
                <w:color w:val="000000"/>
                <w:sz w:val="22"/>
              </w:rPr>
              <w:t>2400</w:t>
            </w:r>
          </w:p>
        </w:tc>
        <w:tc>
          <w:tcPr>
            <w:tcW w:w="415" w:type="pct"/>
            <w:tcBorders>
              <w:top w:val="nil"/>
              <w:left w:val="nil"/>
              <w:bottom w:val="single" w:sz="4" w:space="0" w:color="auto"/>
              <w:right w:val="single" w:sz="4" w:space="0" w:color="auto"/>
            </w:tcBorders>
            <w:shd w:val="clear" w:color="000000" w:fill="EBF1DE"/>
            <w:noWrap/>
            <w:vAlign w:val="bottom"/>
            <w:hideMark/>
          </w:tcPr>
          <w:p w:rsidR="001A39EA" w:rsidRDefault="001A39EA">
            <w:pPr>
              <w:jc w:val="center"/>
              <w:rPr>
                <w:rFonts w:ascii="宋体" w:eastAsia="宋体" w:hAnsi="宋体" w:cs="宋体"/>
                <w:color w:val="000000"/>
                <w:sz w:val="22"/>
              </w:rPr>
            </w:pPr>
            <w:r>
              <w:rPr>
                <w:rFonts w:hint="eastAsia"/>
                <w:color w:val="000000"/>
                <w:sz w:val="22"/>
              </w:rPr>
              <w:t>10</w:t>
            </w:r>
          </w:p>
        </w:tc>
        <w:tc>
          <w:tcPr>
            <w:tcW w:w="524" w:type="pct"/>
            <w:tcBorders>
              <w:top w:val="nil"/>
              <w:left w:val="nil"/>
              <w:bottom w:val="single" w:sz="4" w:space="0" w:color="auto"/>
              <w:right w:val="single" w:sz="4" w:space="0" w:color="auto"/>
            </w:tcBorders>
            <w:shd w:val="clear" w:color="000000" w:fill="EBF1DE"/>
            <w:noWrap/>
            <w:vAlign w:val="bottom"/>
            <w:hideMark/>
          </w:tcPr>
          <w:p w:rsidR="001A39EA" w:rsidRDefault="001A39EA">
            <w:pPr>
              <w:jc w:val="center"/>
              <w:rPr>
                <w:rFonts w:ascii="宋体" w:eastAsia="宋体" w:hAnsi="宋体" w:cs="宋体"/>
                <w:color w:val="000000"/>
                <w:sz w:val="22"/>
              </w:rPr>
            </w:pPr>
            <w:r>
              <w:rPr>
                <w:rFonts w:hint="eastAsia"/>
                <w:color w:val="000000"/>
                <w:sz w:val="22"/>
              </w:rPr>
              <w:t>5.78%</w:t>
            </w:r>
          </w:p>
        </w:tc>
      </w:tr>
    </w:tbl>
    <w:p w:rsidR="00312C38" w:rsidRDefault="00312C38" w:rsidP="0086328F">
      <w:pPr>
        <w:spacing w:beforeLines="100" w:before="312" w:line="360" w:lineRule="auto"/>
        <w:jc w:val="left"/>
        <w:rPr>
          <w:rFonts w:asciiTheme="minorEastAsia" w:hAnsiTheme="minorEastAsia"/>
          <w:b/>
          <w:sz w:val="24"/>
          <w:szCs w:val="24"/>
        </w:rPr>
      </w:pPr>
      <w:r w:rsidRPr="00DB29BF">
        <w:rPr>
          <w:rFonts w:asciiTheme="minorEastAsia" w:hAnsiTheme="minorEastAsia" w:hint="eastAsia"/>
          <w:b/>
          <w:color w:val="FF0000"/>
          <w:sz w:val="24"/>
          <w:szCs w:val="24"/>
          <w:vertAlign w:val="superscript"/>
        </w:rPr>
        <w:t>×</w:t>
      </w:r>
      <w:r w:rsidRPr="00CE1ACD">
        <w:rPr>
          <w:rFonts w:asciiTheme="minorEastAsia" w:hAnsiTheme="minorEastAsia" w:hint="eastAsia"/>
          <w:b/>
          <w:sz w:val="24"/>
          <w:szCs w:val="24"/>
        </w:rPr>
        <w:t>(</w:t>
      </w:r>
      <w:r>
        <w:rPr>
          <w:rFonts w:asciiTheme="minorEastAsia" w:hAnsiTheme="minorEastAsia" w:hint="eastAsia"/>
          <w:b/>
          <w:sz w:val="24"/>
          <w:szCs w:val="24"/>
        </w:rPr>
        <w:t>五</w:t>
      </w:r>
      <w:r w:rsidRPr="00CE1ACD">
        <w:rPr>
          <w:rFonts w:asciiTheme="minorEastAsia" w:hAnsiTheme="minorEastAsia" w:hint="eastAsia"/>
          <w:b/>
          <w:sz w:val="24"/>
          <w:szCs w:val="24"/>
        </w:rPr>
        <w:t>)</w:t>
      </w:r>
      <w:r>
        <w:rPr>
          <w:rFonts w:asciiTheme="minorEastAsia" w:hAnsiTheme="minorEastAsia" w:hint="eastAsia"/>
          <w:b/>
          <w:sz w:val="24"/>
          <w:szCs w:val="24"/>
        </w:rPr>
        <w:t>镇江</w:t>
      </w:r>
    </w:p>
    <w:p w:rsidR="00312FC8" w:rsidRDefault="00462E71" w:rsidP="00462E71">
      <w:pPr>
        <w:spacing w:line="360" w:lineRule="auto"/>
        <w:ind w:firstLineChars="200" w:firstLine="480"/>
        <w:jc w:val="left"/>
        <w:rPr>
          <w:rFonts w:asciiTheme="minorEastAsia" w:hAnsiTheme="minorEastAsia"/>
          <w:sz w:val="24"/>
          <w:szCs w:val="24"/>
        </w:rPr>
      </w:pPr>
      <w:r w:rsidRPr="00225C00">
        <w:rPr>
          <w:rFonts w:asciiTheme="minorEastAsia" w:hAnsiTheme="minorEastAsia" w:hint="eastAsia"/>
          <w:sz w:val="24"/>
          <w:szCs w:val="24"/>
        </w:rPr>
        <w:t>2015</w:t>
      </w:r>
      <w:r w:rsidR="004D746C">
        <w:rPr>
          <w:rFonts w:asciiTheme="minorEastAsia" w:hAnsiTheme="minorEastAsia" w:hint="eastAsia"/>
          <w:sz w:val="24"/>
          <w:szCs w:val="24"/>
        </w:rPr>
        <w:t>年第三</w:t>
      </w:r>
      <w:r w:rsidRPr="00225C00">
        <w:rPr>
          <w:rFonts w:asciiTheme="minorEastAsia" w:hAnsiTheme="minorEastAsia" w:hint="eastAsia"/>
          <w:sz w:val="24"/>
          <w:szCs w:val="24"/>
        </w:rPr>
        <w:t>季</w:t>
      </w:r>
      <w:r w:rsidRPr="00F2098B">
        <w:rPr>
          <w:rFonts w:asciiTheme="minorEastAsia" w:hAnsiTheme="minorEastAsia" w:hint="eastAsia"/>
          <w:sz w:val="24"/>
          <w:szCs w:val="24"/>
        </w:rPr>
        <w:t>度，</w:t>
      </w:r>
      <w:r w:rsidR="00C03D60" w:rsidRPr="00F2098B">
        <w:rPr>
          <w:rFonts w:asciiTheme="minorEastAsia" w:hAnsiTheme="minorEastAsia" w:hint="eastAsia"/>
          <w:sz w:val="24"/>
          <w:szCs w:val="24"/>
        </w:rPr>
        <w:t>镇江</w:t>
      </w:r>
      <w:r w:rsidRPr="00F2098B">
        <w:rPr>
          <w:rFonts w:asciiTheme="minorEastAsia" w:hAnsiTheme="minorEastAsia" w:hint="eastAsia"/>
          <w:sz w:val="24"/>
          <w:szCs w:val="24"/>
        </w:rPr>
        <w:t>市共成交土地</w:t>
      </w:r>
      <w:r w:rsidR="004D746C" w:rsidRPr="00F2098B">
        <w:rPr>
          <w:rFonts w:asciiTheme="minorEastAsia" w:hAnsiTheme="minorEastAsia" w:hint="eastAsia"/>
          <w:sz w:val="24"/>
          <w:szCs w:val="24"/>
        </w:rPr>
        <w:t>3</w:t>
      </w:r>
      <w:r w:rsidRPr="00F2098B">
        <w:rPr>
          <w:rFonts w:asciiTheme="minorEastAsia" w:hAnsiTheme="minorEastAsia" w:hint="eastAsia"/>
          <w:sz w:val="24"/>
          <w:szCs w:val="24"/>
        </w:rPr>
        <w:t>宗，</w:t>
      </w:r>
      <w:r w:rsidR="00225C2F" w:rsidRPr="00F2098B">
        <w:rPr>
          <w:rFonts w:asciiTheme="minorEastAsia" w:hAnsiTheme="minorEastAsia" w:hint="eastAsia"/>
          <w:sz w:val="24"/>
          <w:szCs w:val="24"/>
        </w:rPr>
        <w:t>同比</w:t>
      </w:r>
      <w:r w:rsidR="00F2098B" w:rsidRPr="00F2098B">
        <w:rPr>
          <w:rFonts w:asciiTheme="minorEastAsia" w:hAnsiTheme="minorEastAsia" w:hint="eastAsia"/>
          <w:sz w:val="24"/>
          <w:szCs w:val="24"/>
        </w:rPr>
        <w:t>有所增加</w:t>
      </w:r>
      <w:r w:rsidR="00225C2F" w:rsidRPr="00F2098B">
        <w:rPr>
          <w:rFonts w:asciiTheme="minorEastAsia" w:hAnsiTheme="minorEastAsia" w:hint="eastAsia"/>
          <w:sz w:val="24"/>
          <w:szCs w:val="24"/>
        </w:rPr>
        <w:t>，环比下降</w:t>
      </w:r>
      <w:r w:rsidR="00F2098B" w:rsidRPr="00F2098B">
        <w:rPr>
          <w:rFonts w:asciiTheme="minorEastAsia" w:hAnsiTheme="minorEastAsia" w:hint="eastAsia"/>
          <w:sz w:val="24"/>
          <w:szCs w:val="24"/>
        </w:rPr>
        <w:t>40</w:t>
      </w:r>
      <w:r w:rsidR="00225C2F" w:rsidRPr="00F2098B">
        <w:rPr>
          <w:rFonts w:asciiTheme="minorEastAsia" w:hAnsiTheme="minorEastAsia" w:hint="eastAsia"/>
          <w:sz w:val="24"/>
          <w:szCs w:val="24"/>
        </w:rPr>
        <w:t>%</w:t>
      </w:r>
      <w:r w:rsidR="001859FA" w:rsidRPr="00F2098B">
        <w:rPr>
          <w:rFonts w:asciiTheme="minorEastAsia" w:hAnsiTheme="minorEastAsia" w:hint="eastAsia"/>
          <w:sz w:val="24"/>
          <w:szCs w:val="24"/>
        </w:rPr>
        <w:t>，</w:t>
      </w:r>
      <w:r w:rsidR="00416368" w:rsidRPr="00F2098B">
        <w:rPr>
          <w:rFonts w:asciiTheme="minorEastAsia" w:hAnsiTheme="minorEastAsia" w:hint="eastAsia"/>
          <w:sz w:val="24"/>
          <w:szCs w:val="24"/>
        </w:rPr>
        <w:t>土地</w:t>
      </w:r>
      <w:r w:rsidR="001859FA" w:rsidRPr="00F2098B">
        <w:rPr>
          <w:rFonts w:asciiTheme="minorEastAsia" w:hAnsiTheme="minorEastAsia" w:hint="eastAsia"/>
          <w:sz w:val="24"/>
          <w:szCs w:val="24"/>
        </w:rPr>
        <w:t>市场</w:t>
      </w:r>
      <w:r w:rsidR="00416368" w:rsidRPr="00F2098B">
        <w:rPr>
          <w:rFonts w:asciiTheme="minorEastAsia" w:hAnsiTheme="minorEastAsia" w:hint="eastAsia"/>
          <w:sz w:val="24"/>
          <w:szCs w:val="24"/>
        </w:rPr>
        <w:t>总体</w:t>
      </w:r>
      <w:r w:rsidR="001859FA" w:rsidRPr="00F2098B">
        <w:rPr>
          <w:rFonts w:asciiTheme="minorEastAsia" w:hAnsiTheme="minorEastAsia" w:hint="eastAsia"/>
          <w:sz w:val="24"/>
          <w:szCs w:val="24"/>
        </w:rPr>
        <w:t>不尽如人意。</w:t>
      </w:r>
    </w:p>
    <w:p w:rsidR="0023746E" w:rsidRDefault="0023746E" w:rsidP="00462E71">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从用途来看，纯住宅用地依旧未实现成交，</w:t>
      </w:r>
      <w:r w:rsidR="00D4480C">
        <w:rPr>
          <w:rFonts w:asciiTheme="minorEastAsia" w:hAnsiTheme="minorEastAsia" w:hint="eastAsia"/>
          <w:sz w:val="24"/>
          <w:szCs w:val="24"/>
        </w:rPr>
        <w:t>总体来看开发商对住宅市场不太看好；</w:t>
      </w:r>
      <w:r w:rsidR="00EA055E">
        <w:rPr>
          <w:rFonts w:asciiTheme="minorEastAsia" w:hAnsiTheme="minorEastAsia" w:hint="eastAsia"/>
          <w:sz w:val="24"/>
          <w:szCs w:val="24"/>
        </w:rPr>
        <w:t>商住用地</w:t>
      </w:r>
      <w:r w:rsidR="004D746C">
        <w:rPr>
          <w:rFonts w:asciiTheme="minorEastAsia" w:hAnsiTheme="minorEastAsia" w:hint="eastAsia"/>
          <w:sz w:val="24"/>
          <w:szCs w:val="24"/>
        </w:rPr>
        <w:t>2</w:t>
      </w:r>
      <w:r w:rsidR="00EA055E">
        <w:rPr>
          <w:rFonts w:asciiTheme="minorEastAsia" w:hAnsiTheme="minorEastAsia" w:hint="eastAsia"/>
          <w:sz w:val="24"/>
          <w:szCs w:val="24"/>
        </w:rPr>
        <w:t>宗，且均为安置房项目</w:t>
      </w:r>
      <w:r w:rsidR="00A52FA6">
        <w:rPr>
          <w:rFonts w:asciiTheme="minorEastAsia" w:hAnsiTheme="minorEastAsia" w:hint="eastAsia"/>
          <w:sz w:val="24"/>
          <w:szCs w:val="24"/>
        </w:rPr>
        <w:t>，但总体规模较大</w:t>
      </w:r>
      <w:r w:rsidR="00EA055E">
        <w:rPr>
          <w:rFonts w:asciiTheme="minorEastAsia" w:hAnsiTheme="minorEastAsia" w:hint="eastAsia"/>
          <w:sz w:val="24"/>
          <w:szCs w:val="24"/>
        </w:rPr>
        <w:t>；</w:t>
      </w:r>
      <w:r w:rsidR="004D746C">
        <w:rPr>
          <w:rFonts w:asciiTheme="minorEastAsia" w:hAnsiTheme="minorEastAsia" w:hint="eastAsia"/>
          <w:sz w:val="24"/>
          <w:szCs w:val="24"/>
        </w:rPr>
        <w:t>其他</w:t>
      </w:r>
      <w:r w:rsidR="00A52FA6">
        <w:rPr>
          <w:rFonts w:asciiTheme="minorEastAsia" w:hAnsiTheme="minorEastAsia" w:hint="eastAsia"/>
          <w:sz w:val="24"/>
          <w:szCs w:val="24"/>
        </w:rPr>
        <w:t>用地</w:t>
      </w:r>
      <w:r w:rsidR="004D746C">
        <w:rPr>
          <w:rFonts w:asciiTheme="minorEastAsia" w:hAnsiTheme="minorEastAsia" w:hint="eastAsia"/>
          <w:sz w:val="24"/>
          <w:szCs w:val="24"/>
        </w:rPr>
        <w:t>1</w:t>
      </w:r>
      <w:r w:rsidR="00A52FA6">
        <w:rPr>
          <w:rFonts w:asciiTheme="minorEastAsia" w:hAnsiTheme="minorEastAsia" w:hint="eastAsia"/>
          <w:sz w:val="24"/>
          <w:szCs w:val="24"/>
        </w:rPr>
        <w:t>宗，平均规模近</w:t>
      </w:r>
      <w:r w:rsidR="004D746C">
        <w:rPr>
          <w:rFonts w:asciiTheme="minorEastAsia" w:hAnsiTheme="minorEastAsia" w:hint="eastAsia"/>
          <w:sz w:val="24"/>
          <w:szCs w:val="24"/>
        </w:rPr>
        <w:t>1.6</w:t>
      </w:r>
      <w:r w:rsidR="00416368">
        <w:rPr>
          <w:rFonts w:asciiTheme="minorEastAsia" w:hAnsiTheme="minorEastAsia" w:hint="eastAsia"/>
          <w:sz w:val="24"/>
          <w:szCs w:val="24"/>
        </w:rPr>
        <w:t>公顷</w:t>
      </w:r>
      <w:r>
        <w:rPr>
          <w:rFonts w:asciiTheme="minorEastAsia" w:hAnsiTheme="minorEastAsia" w:hint="eastAsia"/>
          <w:sz w:val="24"/>
          <w:szCs w:val="24"/>
        </w:rPr>
        <w:t>。</w:t>
      </w:r>
    </w:p>
    <w:p w:rsidR="00416368" w:rsidRDefault="004D746C" w:rsidP="00462E71">
      <w:pPr>
        <w:spacing w:line="360" w:lineRule="auto"/>
        <w:ind w:firstLineChars="200" w:firstLine="480"/>
        <w:jc w:val="left"/>
        <w:rPr>
          <w:rFonts w:asciiTheme="minorEastAsia" w:hAnsiTheme="minorEastAsia"/>
          <w:sz w:val="24"/>
          <w:szCs w:val="24"/>
        </w:rPr>
      </w:pPr>
      <w:r w:rsidRPr="00F2098B">
        <w:rPr>
          <w:rFonts w:asciiTheme="minorEastAsia" w:hAnsiTheme="minorEastAsia" w:hint="eastAsia"/>
          <w:sz w:val="24"/>
          <w:szCs w:val="24"/>
        </w:rPr>
        <w:t>在成交地块大幅下降的同时，三</w:t>
      </w:r>
      <w:r w:rsidR="004B6DB1" w:rsidRPr="00F2098B">
        <w:rPr>
          <w:rFonts w:asciiTheme="minorEastAsia" w:hAnsiTheme="minorEastAsia" w:hint="eastAsia"/>
          <w:sz w:val="24"/>
          <w:szCs w:val="24"/>
        </w:rPr>
        <w:t>季度成交金额</w:t>
      </w:r>
      <w:r w:rsidRPr="00F2098B">
        <w:rPr>
          <w:rFonts w:asciiTheme="minorEastAsia" w:hAnsiTheme="minorEastAsia" w:hint="eastAsia"/>
          <w:sz w:val="24"/>
          <w:szCs w:val="24"/>
        </w:rPr>
        <w:t>3.57</w:t>
      </w:r>
      <w:r w:rsidR="004B6DB1" w:rsidRPr="00F2098B">
        <w:rPr>
          <w:rFonts w:asciiTheme="minorEastAsia" w:hAnsiTheme="minorEastAsia" w:hint="eastAsia"/>
          <w:sz w:val="24"/>
          <w:szCs w:val="24"/>
        </w:rPr>
        <w:t>亿元，</w:t>
      </w:r>
      <w:r w:rsidR="00F2098B">
        <w:rPr>
          <w:rFonts w:asciiTheme="minorEastAsia" w:hAnsiTheme="minorEastAsia" w:hint="eastAsia"/>
          <w:sz w:val="24"/>
          <w:szCs w:val="24"/>
        </w:rPr>
        <w:t>同比有所增加</w:t>
      </w:r>
      <w:r w:rsidR="004B6DB1" w:rsidRPr="00F2098B">
        <w:rPr>
          <w:rFonts w:asciiTheme="minorEastAsia" w:hAnsiTheme="minorEastAsia" w:hint="eastAsia"/>
          <w:sz w:val="24"/>
          <w:szCs w:val="24"/>
        </w:rPr>
        <w:t>，环比下降</w:t>
      </w:r>
      <w:r w:rsidR="00F2098B" w:rsidRPr="00F2098B">
        <w:rPr>
          <w:rFonts w:asciiTheme="minorEastAsia" w:hAnsiTheme="minorEastAsia" w:hint="eastAsia"/>
          <w:sz w:val="24"/>
          <w:szCs w:val="24"/>
        </w:rPr>
        <w:t>22.49</w:t>
      </w:r>
      <w:r w:rsidR="004B6DB1" w:rsidRPr="00F2098B">
        <w:rPr>
          <w:rFonts w:asciiTheme="minorEastAsia" w:hAnsiTheme="minorEastAsia" w:hint="eastAsia"/>
          <w:sz w:val="24"/>
          <w:szCs w:val="24"/>
        </w:rPr>
        <w:t>%。</w:t>
      </w:r>
    </w:p>
    <w:p w:rsidR="003B677C" w:rsidRDefault="004B6DB1" w:rsidP="003B677C">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楼面均价为</w:t>
      </w:r>
      <w:r w:rsidR="00F2098B">
        <w:rPr>
          <w:rFonts w:asciiTheme="minorEastAsia" w:hAnsiTheme="minorEastAsia" w:hint="eastAsia"/>
          <w:sz w:val="24"/>
          <w:szCs w:val="24"/>
        </w:rPr>
        <w:t>724</w:t>
      </w:r>
      <w:r w:rsidRPr="00F2098B">
        <w:rPr>
          <w:rFonts w:asciiTheme="minorEastAsia" w:hAnsiTheme="minorEastAsia" w:hint="eastAsia"/>
          <w:sz w:val="24"/>
          <w:szCs w:val="24"/>
        </w:rPr>
        <w:t>元/m</w:t>
      </w:r>
      <w:r w:rsidRPr="00F2098B">
        <w:rPr>
          <w:rFonts w:asciiTheme="minorEastAsia" w:hAnsiTheme="minorEastAsia" w:hint="eastAsia"/>
          <w:sz w:val="24"/>
          <w:szCs w:val="24"/>
          <w:vertAlign w:val="superscript"/>
        </w:rPr>
        <w:t>2</w:t>
      </w:r>
      <w:r w:rsidR="00F2098B" w:rsidRPr="00F2098B">
        <w:rPr>
          <w:rFonts w:asciiTheme="minorEastAsia" w:hAnsiTheme="minorEastAsia" w:hint="eastAsia"/>
          <w:sz w:val="24"/>
          <w:szCs w:val="24"/>
        </w:rPr>
        <w:t>，环比增长</w:t>
      </w:r>
      <w:r w:rsidR="00F2098B">
        <w:rPr>
          <w:rFonts w:asciiTheme="minorEastAsia" w:hAnsiTheme="minorEastAsia" w:hint="eastAsia"/>
          <w:sz w:val="24"/>
          <w:szCs w:val="24"/>
        </w:rPr>
        <w:t>27.66</w:t>
      </w:r>
      <w:r w:rsidRPr="00F2098B">
        <w:rPr>
          <w:rFonts w:asciiTheme="minorEastAsia" w:hAnsiTheme="minorEastAsia" w:hint="eastAsia"/>
          <w:sz w:val="24"/>
          <w:szCs w:val="24"/>
        </w:rPr>
        <w:t>%。</w:t>
      </w:r>
      <w:r w:rsidR="003B677C">
        <w:rPr>
          <w:rFonts w:asciiTheme="minorEastAsia" w:hAnsiTheme="minorEastAsia" w:hint="eastAsia"/>
          <w:sz w:val="24"/>
          <w:szCs w:val="24"/>
        </w:rPr>
        <w:t>所有土地均以底价成交，未出现溢价，市场竞争力不足。</w:t>
      </w:r>
    </w:p>
    <w:p w:rsidR="00A8388F" w:rsidRDefault="00A8388F" w:rsidP="00462E71">
      <w:pPr>
        <w:spacing w:line="360" w:lineRule="auto"/>
        <w:jc w:val="center"/>
        <w:rPr>
          <w:rFonts w:asciiTheme="minorEastAsia" w:hAnsiTheme="minorEastAsia" w:hint="eastAsia"/>
          <w:b/>
          <w:szCs w:val="21"/>
        </w:rPr>
      </w:pPr>
    </w:p>
    <w:p w:rsidR="00A8388F" w:rsidRDefault="00A8388F" w:rsidP="00462E71">
      <w:pPr>
        <w:spacing w:line="360" w:lineRule="auto"/>
        <w:jc w:val="center"/>
        <w:rPr>
          <w:rFonts w:asciiTheme="minorEastAsia" w:hAnsiTheme="minorEastAsia" w:hint="eastAsia"/>
          <w:b/>
          <w:szCs w:val="21"/>
        </w:rPr>
      </w:pPr>
    </w:p>
    <w:p w:rsidR="00A8388F" w:rsidRDefault="00A8388F" w:rsidP="00462E71">
      <w:pPr>
        <w:spacing w:line="360" w:lineRule="auto"/>
        <w:jc w:val="center"/>
        <w:rPr>
          <w:rFonts w:asciiTheme="minorEastAsia" w:hAnsiTheme="minorEastAsia" w:hint="eastAsia"/>
          <w:b/>
          <w:szCs w:val="21"/>
        </w:rPr>
      </w:pPr>
    </w:p>
    <w:p w:rsidR="00462E71" w:rsidRPr="00885951" w:rsidRDefault="00462E71" w:rsidP="00462E71">
      <w:pPr>
        <w:spacing w:line="360" w:lineRule="auto"/>
        <w:jc w:val="center"/>
        <w:rPr>
          <w:rFonts w:asciiTheme="minorEastAsia" w:hAnsiTheme="minorEastAsia"/>
          <w:b/>
          <w:sz w:val="24"/>
          <w:szCs w:val="24"/>
        </w:rPr>
      </w:pPr>
      <w:r w:rsidRPr="00885951">
        <w:rPr>
          <w:rFonts w:asciiTheme="minorEastAsia" w:hAnsiTheme="minorEastAsia" w:hint="eastAsia"/>
          <w:b/>
          <w:szCs w:val="21"/>
        </w:rPr>
        <w:lastRenderedPageBreak/>
        <w:t>表</w:t>
      </w:r>
      <w:r w:rsidR="00885951" w:rsidRPr="00885951">
        <w:rPr>
          <w:rFonts w:asciiTheme="minorEastAsia" w:hAnsiTheme="minorEastAsia" w:hint="eastAsia"/>
          <w:b/>
          <w:szCs w:val="21"/>
        </w:rPr>
        <w:t>7</w:t>
      </w:r>
      <w:r w:rsidRPr="00885951">
        <w:rPr>
          <w:rFonts w:asciiTheme="minorEastAsia" w:hAnsiTheme="minorEastAsia" w:hint="eastAsia"/>
          <w:b/>
          <w:szCs w:val="21"/>
        </w:rPr>
        <w:t xml:space="preserve"> 2015</w:t>
      </w:r>
      <w:r w:rsidR="00F23E13">
        <w:rPr>
          <w:rFonts w:asciiTheme="minorEastAsia" w:hAnsiTheme="minorEastAsia" w:hint="eastAsia"/>
          <w:b/>
          <w:szCs w:val="21"/>
        </w:rPr>
        <w:t>年三</w:t>
      </w:r>
      <w:r w:rsidRPr="00885951">
        <w:rPr>
          <w:rFonts w:asciiTheme="minorEastAsia" w:hAnsiTheme="minorEastAsia" w:hint="eastAsia"/>
          <w:b/>
          <w:szCs w:val="21"/>
        </w:rPr>
        <w:t>季度镇江市土地市场成交情况</w:t>
      </w:r>
    </w:p>
    <w:tbl>
      <w:tblPr>
        <w:tblW w:w="5000" w:type="pct"/>
        <w:tblLayout w:type="fixed"/>
        <w:tblLook w:val="04A0" w:firstRow="1" w:lastRow="0" w:firstColumn="1" w:lastColumn="0" w:noHBand="0" w:noVBand="1"/>
      </w:tblPr>
      <w:tblGrid>
        <w:gridCol w:w="962"/>
        <w:gridCol w:w="570"/>
        <w:gridCol w:w="908"/>
        <w:gridCol w:w="937"/>
        <w:gridCol w:w="990"/>
        <w:gridCol w:w="994"/>
        <w:gridCol w:w="850"/>
        <w:gridCol w:w="709"/>
        <w:gridCol w:w="707"/>
        <w:gridCol w:w="895"/>
      </w:tblGrid>
      <w:tr w:rsidR="00C05ED8" w:rsidRPr="00C05ED8" w:rsidTr="004D746C">
        <w:trPr>
          <w:trHeight w:val="540"/>
        </w:trPr>
        <w:tc>
          <w:tcPr>
            <w:tcW w:w="564" w:type="pct"/>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05ED8" w:rsidRPr="00C05ED8" w:rsidRDefault="00C05ED8" w:rsidP="00C05ED8">
            <w:pPr>
              <w:widowControl/>
              <w:jc w:val="center"/>
              <w:rPr>
                <w:rFonts w:ascii="宋体" w:eastAsia="宋体" w:hAnsi="宋体" w:cs="宋体"/>
                <w:b/>
                <w:color w:val="000000"/>
                <w:kern w:val="0"/>
                <w:szCs w:val="21"/>
              </w:rPr>
            </w:pPr>
            <w:r w:rsidRPr="00C05ED8">
              <w:rPr>
                <w:rFonts w:ascii="宋体" w:eastAsia="宋体" w:hAnsi="宋体" w:cs="宋体" w:hint="eastAsia"/>
                <w:b/>
                <w:color w:val="000000"/>
                <w:kern w:val="0"/>
                <w:szCs w:val="21"/>
              </w:rPr>
              <w:t>用途</w:t>
            </w:r>
          </w:p>
        </w:tc>
        <w:tc>
          <w:tcPr>
            <w:tcW w:w="334" w:type="pct"/>
            <w:tcBorders>
              <w:top w:val="single" w:sz="4" w:space="0" w:color="auto"/>
              <w:left w:val="nil"/>
              <w:bottom w:val="single" w:sz="4" w:space="0" w:color="auto"/>
              <w:right w:val="single" w:sz="4" w:space="0" w:color="auto"/>
            </w:tcBorders>
            <w:shd w:val="clear" w:color="000000" w:fill="D8E4BC"/>
            <w:noWrap/>
            <w:vAlign w:val="center"/>
            <w:hideMark/>
          </w:tcPr>
          <w:p w:rsidR="00C05ED8" w:rsidRPr="00C05ED8" w:rsidRDefault="00C05ED8" w:rsidP="00C05ED8">
            <w:pPr>
              <w:widowControl/>
              <w:jc w:val="center"/>
              <w:rPr>
                <w:rFonts w:ascii="宋体" w:eastAsia="宋体" w:hAnsi="宋体" w:cs="宋体"/>
                <w:b/>
                <w:color w:val="000000"/>
                <w:kern w:val="0"/>
                <w:szCs w:val="21"/>
              </w:rPr>
            </w:pPr>
            <w:r w:rsidRPr="00C05ED8">
              <w:rPr>
                <w:rFonts w:ascii="宋体" w:eastAsia="宋体" w:hAnsi="宋体" w:cs="宋体" w:hint="eastAsia"/>
                <w:b/>
                <w:color w:val="000000"/>
                <w:kern w:val="0"/>
                <w:szCs w:val="21"/>
              </w:rPr>
              <w:t>宗数</w:t>
            </w:r>
          </w:p>
        </w:tc>
        <w:tc>
          <w:tcPr>
            <w:tcW w:w="533" w:type="pct"/>
            <w:tcBorders>
              <w:top w:val="single" w:sz="4" w:space="0" w:color="auto"/>
              <w:left w:val="nil"/>
              <w:bottom w:val="single" w:sz="4" w:space="0" w:color="auto"/>
              <w:right w:val="single" w:sz="4" w:space="0" w:color="auto"/>
            </w:tcBorders>
            <w:shd w:val="clear" w:color="000000" w:fill="D8E4BC"/>
            <w:vAlign w:val="center"/>
            <w:hideMark/>
          </w:tcPr>
          <w:p w:rsidR="00C05ED8" w:rsidRPr="00C05ED8" w:rsidRDefault="00C05ED8" w:rsidP="00C05ED8">
            <w:pPr>
              <w:widowControl/>
              <w:jc w:val="center"/>
              <w:rPr>
                <w:rFonts w:ascii="宋体" w:eastAsia="宋体" w:hAnsi="宋体" w:cs="宋体"/>
                <w:b/>
                <w:color w:val="000000"/>
                <w:kern w:val="0"/>
                <w:szCs w:val="21"/>
              </w:rPr>
            </w:pPr>
            <w:r w:rsidRPr="00C05ED8">
              <w:rPr>
                <w:rFonts w:ascii="宋体" w:eastAsia="宋体" w:hAnsi="宋体" w:cs="宋体" w:hint="eastAsia"/>
                <w:b/>
                <w:color w:val="000000"/>
                <w:kern w:val="0"/>
                <w:szCs w:val="21"/>
              </w:rPr>
              <w:t>成交金额（亿元）</w:t>
            </w:r>
          </w:p>
        </w:tc>
        <w:tc>
          <w:tcPr>
            <w:tcW w:w="550" w:type="pct"/>
            <w:tcBorders>
              <w:top w:val="single" w:sz="4" w:space="0" w:color="auto"/>
              <w:left w:val="nil"/>
              <w:bottom w:val="single" w:sz="4" w:space="0" w:color="auto"/>
              <w:right w:val="single" w:sz="4" w:space="0" w:color="auto"/>
            </w:tcBorders>
            <w:shd w:val="clear" w:color="000000" w:fill="D8E4BC"/>
            <w:vAlign w:val="center"/>
            <w:hideMark/>
          </w:tcPr>
          <w:p w:rsidR="00C05ED8" w:rsidRPr="00C05ED8" w:rsidRDefault="00C05ED8" w:rsidP="00C05ED8">
            <w:pPr>
              <w:widowControl/>
              <w:jc w:val="center"/>
              <w:rPr>
                <w:rFonts w:ascii="宋体" w:eastAsia="宋体" w:hAnsi="宋体" w:cs="宋体"/>
                <w:b/>
                <w:color w:val="000000"/>
                <w:kern w:val="0"/>
                <w:szCs w:val="21"/>
              </w:rPr>
            </w:pPr>
            <w:r w:rsidRPr="00C05ED8">
              <w:rPr>
                <w:rFonts w:ascii="宋体" w:eastAsia="宋体" w:hAnsi="宋体" w:cs="宋体" w:hint="eastAsia"/>
                <w:b/>
                <w:color w:val="000000"/>
                <w:kern w:val="0"/>
                <w:szCs w:val="21"/>
              </w:rPr>
              <w:t>宗地面积（万m2）</w:t>
            </w:r>
          </w:p>
        </w:tc>
        <w:tc>
          <w:tcPr>
            <w:tcW w:w="581" w:type="pct"/>
            <w:tcBorders>
              <w:top w:val="single" w:sz="4" w:space="0" w:color="auto"/>
              <w:left w:val="nil"/>
              <w:bottom w:val="single" w:sz="4" w:space="0" w:color="auto"/>
              <w:right w:val="single" w:sz="4" w:space="0" w:color="auto"/>
            </w:tcBorders>
            <w:shd w:val="clear" w:color="000000" w:fill="D8E4BC"/>
            <w:vAlign w:val="center"/>
            <w:hideMark/>
          </w:tcPr>
          <w:p w:rsidR="00C05ED8" w:rsidRPr="00C05ED8" w:rsidRDefault="00C05ED8" w:rsidP="00C05ED8">
            <w:pPr>
              <w:widowControl/>
              <w:jc w:val="center"/>
              <w:rPr>
                <w:rFonts w:ascii="宋体" w:eastAsia="宋体" w:hAnsi="宋体" w:cs="宋体"/>
                <w:b/>
                <w:color w:val="000000"/>
                <w:kern w:val="0"/>
                <w:szCs w:val="21"/>
              </w:rPr>
            </w:pPr>
            <w:r w:rsidRPr="00C05ED8">
              <w:rPr>
                <w:rFonts w:ascii="宋体" w:eastAsia="宋体" w:hAnsi="宋体" w:cs="宋体" w:hint="eastAsia"/>
                <w:b/>
                <w:color w:val="000000"/>
                <w:kern w:val="0"/>
                <w:szCs w:val="21"/>
              </w:rPr>
              <w:t>平均规模（万m2）</w:t>
            </w:r>
          </w:p>
        </w:tc>
        <w:tc>
          <w:tcPr>
            <w:tcW w:w="583" w:type="pct"/>
            <w:tcBorders>
              <w:top w:val="single" w:sz="4" w:space="0" w:color="auto"/>
              <w:left w:val="nil"/>
              <w:bottom w:val="single" w:sz="4" w:space="0" w:color="auto"/>
              <w:right w:val="single" w:sz="4" w:space="0" w:color="auto"/>
            </w:tcBorders>
            <w:shd w:val="clear" w:color="000000" w:fill="D8E4BC"/>
            <w:vAlign w:val="center"/>
            <w:hideMark/>
          </w:tcPr>
          <w:p w:rsidR="00C05ED8" w:rsidRPr="00C05ED8" w:rsidRDefault="00C05ED8" w:rsidP="00C05ED8">
            <w:pPr>
              <w:widowControl/>
              <w:jc w:val="center"/>
              <w:rPr>
                <w:rFonts w:ascii="宋体" w:eastAsia="宋体" w:hAnsi="宋体" w:cs="宋体"/>
                <w:b/>
                <w:color w:val="000000"/>
                <w:kern w:val="0"/>
                <w:szCs w:val="21"/>
              </w:rPr>
            </w:pPr>
            <w:r w:rsidRPr="00C05ED8">
              <w:rPr>
                <w:rFonts w:ascii="宋体" w:eastAsia="宋体" w:hAnsi="宋体" w:cs="宋体" w:hint="eastAsia"/>
                <w:b/>
                <w:color w:val="000000"/>
                <w:kern w:val="0"/>
                <w:szCs w:val="21"/>
              </w:rPr>
              <w:t>建筑面积（万m2）</w:t>
            </w:r>
          </w:p>
        </w:tc>
        <w:tc>
          <w:tcPr>
            <w:tcW w:w="499" w:type="pct"/>
            <w:tcBorders>
              <w:top w:val="single" w:sz="4" w:space="0" w:color="auto"/>
              <w:left w:val="nil"/>
              <w:bottom w:val="single" w:sz="4" w:space="0" w:color="auto"/>
              <w:right w:val="single" w:sz="4" w:space="0" w:color="auto"/>
            </w:tcBorders>
            <w:shd w:val="clear" w:color="000000" w:fill="D8E4BC"/>
            <w:vAlign w:val="center"/>
            <w:hideMark/>
          </w:tcPr>
          <w:p w:rsidR="00C05ED8" w:rsidRPr="00C05ED8" w:rsidRDefault="00C05ED8" w:rsidP="00C05ED8">
            <w:pPr>
              <w:widowControl/>
              <w:jc w:val="center"/>
              <w:rPr>
                <w:rFonts w:ascii="宋体" w:eastAsia="宋体" w:hAnsi="宋体" w:cs="宋体"/>
                <w:b/>
                <w:color w:val="000000"/>
                <w:kern w:val="0"/>
                <w:szCs w:val="21"/>
              </w:rPr>
            </w:pPr>
            <w:r w:rsidRPr="00C05ED8">
              <w:rPr>
                <w:rFonts w:ascii="宋体" w:eastAsia="宋体" w:hAnsi="宋体" w:cs="宋体" w:hint="eastAsia"/>
                <w:b/>
                <w:color w:val="000000"/>
                <w:kern w:val="0"/>
                <w:szCs w:val="21"/>
              </w:rPr>
              <w:t>平均容积率</w:t>
            </w:r>
          </w:p>
        </w:tc>
        <w:tc>
          <w:tcPr>
            <w:tcW w:w="416" w:type="pct"/>
            <w:tcBorders>
              <w:top w:val="single" w:sz="4" w:space="0" w:color="auto"/>
              <w:left w:val="nil"/>
              <w:bottom w:val="single" w:sz="4" w:space="0" w:color="auto"/>
              <w:right w:val="single" w:sz="4" w:space="0" w:color="auto"/>
            </w:tcBorders>
            <w:shd w:val="clear" w:color="000000" w:fill="D8E4BC"/>
            <w:noWrap/>
            <w:vAlign w:val="center"/>
            <w:hideMark/>
          </w:tcPr>
          <w:p w:rsidR="00C05ED8" w:rsidRPr="00C05ED8" w:rsidRDefault="00C05ED8" w:rsidP="00C05ED8">
            <w:pPr>
              <w:widowControl/>
              <w:jc w:val="center"/>
              <w:rPr>
                <w:rFonts w:ascii="宋体" w:eastAsia="宋体" w:hAnsi="宋体" w:cs="宋体"/>
                <w:b/>
                <w:color w:val="000000"/>
                <w:kern w:val="0"/>
                <w:szCs w:val="21"/>
              </w:rPr>
            </w:pPr>
            <w:r w:rsidRPr="00C05ED8">
              <w:rPr>
                <w:rFonts w:ascii="宋体" w:eastAsia="宋体" w:hAnsi="宋体" w:cs="宋体" w:hint="eastAsia"/>
                <w:b/>
                <w:color w:val="000000"/>
                <w:kern w:val="0"/>
                <w:szCs w:val="21"/>
              </w:rPr>
              <w:t>楼面均价</w:t>
            </w:r>
          </w:p>
        </w:tc>
        <w:tc>
          <w:tcPr>
            <w:tcW w:w="415" w:type="pct"/>
            <w:tcBorders>
              <w:top w:val="single" w:sz="4" w:space="0" w:color="auto"/>
              <w:left w:val="nil"/>
              <w:bottom w:val="single" w:sz="4" w:space="0" w:color="auto"/>
              <w:right w:val="single" w:sz="4" w:space="0" w:color="auto"/>
            </w:tcBorders>
            <w:shd w:val="clear" w:color="000000" w:fill="D8E4BC"/>
            <w:noWrap/>
            <w:vAlign w:val="center"/>
            <w:hideMark/>
          </w:tcPr>
          <w:p w:rsidR="00C05ED8" w:rsidRPr="00C05ED8" w:rsidRDefault="00C05ED8" w:rsidP="00C05ED8">
            <w:pPr>
              <w:widowControl/>
              <w:jc w:val="center"/>
              <w:rPr>
                <w:rFonts w:ascii="宋体" w:eastAsia="宋体" w:hAnsi="宋体" w:cs="宋体"/>
                <w:b/>
                <w:color w:val="000000"/>
                <w:kern w:val="0"/>
                <w:szCs w:val="21"/>
              </w:rPr>
            </w:pPr>
            <w:r w:rsidRPr="00C05ED8">
              <w:rPr>
                <w:rFonts w:ascii="宋体" w:eastAsia="宋体" w:hAnsi="宋体" w:cs="宋体" w:hint="eastAsia"/>
                <w:b/>
                <w:color w:val="000000"/>
                <w:kern w:val="0"/>
                <w:szCs w:val="21"/>
              </w:rPr>
              <w:t>溢价地块</w:t>
            </w:r>
          </w:p>
        </w:tc>
        <w:tc>
          <w:tcPr>
            <w:tcW w:w="525" w:type="pct"/>
            <w:tcBorders>
              <w:top w:val="single" w:sz="4" w:space="0" w:color="auto"/>
              <w:left w:val="nil"/>
              <w:bottom w:val="single" w:sz="4" w:space="0" w:color="auto"/>
              <w:right w:val="single" w:sz="4" w:space="0" w:color="auto"/>
            </w:tcBorders>
            <w:shd w:val="clear" w:color="000000" w:fill="D8E4BC"/>
            <w:vAlign w:val="center"/>
            <w:hideMark/>
          </w:tcPr>
          <w:p w:rsidR="00C05ED8" w:rsidRPr="00C05ED8" w:rsidRDefault="00C05ED8" w:rsidP="00C05ED8">
            <w:pPr>
              <w:widowControl/>
              <w:jc w:val="center"/>
              <w:rPr>
                <w:rFonts w:ascii="宋体" w:eastAsia="宋体" w:hAnsi="宋体" w:cs="宋体"/>
                <w:b/>
                <w:color w:val="000000"/>
                <w:kern w:val="0"/>
                <w:szCs w:val="21"/>
              </w:rPr>
            </w:pPr>
            <w:r w:rsidRPr="00C05ED8">
              <w:rPr>
                <w:rFonts w:ascii="宋体" w:eastAsia="宋体" w:hAnsi="宋体" w:cs="宋体" w:hint="eastAsia"/>
                <w:b/>
                <w:color w:val="000000"/>
                <w:kern w:val="0"/>
                <w:szCs w:val="21"/>
              </w:rPr>
              <w:t>溢价率</w:t>
            </w:r>
          </w:p>
        </w:tc>
      </w:tr>
      <w:tr w:rsidR="004D746C" w:rsidRPr="00C05ED8" w:rsidTr="004D746C">
        <w:trPr>
          <w:trHeight w:val="27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rsidR="004D746C" w:rsidRPr="00A8388F" w:rsidRDefault="004D746C" w:rsidP="00C05ED8">
            <w:pPr>
              <w:widowControl/>
              <w:jc w:val="center"/>
              <w:rPr>
                <w:rFonts w:ascii="宋体" w:eastAsia="宋体" w:hAnsi="宋体" w:cs="宋体"/>
                <w:b/>
                <w:color w:val="000000"/>
                <w:kern w:val="0"/>
                <w:szCs w:val="21"/>
              </w:rPr>
            </w:pPr>
            <w:r w:rsidRPr="00A8388F">
              <w:rPr>
                <w:rFonts w:ascii="宋体" w:eastAsia="宋体" w:hAnsi="宋体" w:cs="宋体" w:hint="eastAsia"/>
                <w:b/>
                <w:color w:val="000000"/>
                <w:kern w:val="0"/>
                <w:szCs w:val="21"/>
              </w:rPr>
              <w:t>纯住宅</w:t>
            </w:r>
          </w:p>
        </w:tc>
        <w:tc>
          <w:tcPr>
            <w:tcW w:w="334" w:type="pct"/>
            <w:tcBorders>
              <w:top w:val="nil"/>
              <w:left w:val="nil"/>
              <w:bottom w:val="single" w:sz="4" w:space="0" w:color="auto"/>
              <w:right w:val="single" w:sz="4" w:space="0" w:color="auto"/>
            </w:tcBorders>
            <w:shd w:val="clear" w:color="auto" w:fill="auto"/>
            <w:noWrap/>
            <w:vAlign w:val="center"/>
            <w:hideMark/>
          </w:tcPr>
          <w:p w:rsidR="004D746C" w:rsidRDefault="004D746C">
            <w:pPr>
              <w:jc w:val="center"/>
              <w:rPr>
                <w:rFonts w:ascii="宋体" w:eastAsia="宋体" w:hAnsi="宋体" w:cs="宋体"/>
                <w:color w:val="000000"/>
                <w:sz w:val="22"/>
              </w:rPr>
            </w:pPr>
            <w:r>
              <w:rPr>
                <w:rFonts w:hint="eastAsia"/>
                <w:color w:val="000000"/>
                <w:sz w:val="22"/>
              </w:rPr>
              <w:t>0</w:t>
            </w:r>
          </w:p>
        </w:tc>
        <w:tc>
          <w:tcPr>
            <w:tcW w:w="533" w:type="pct"/>
            <w:tcBorders>
              <w:top w:val="nil"/>
              <w:left w:val="nil"/>
              <w:bottom w:val="single" w:sz="4" w:space="0" w:color="auto"/>
              <w:right w:val="single" w:sz="4" w:space="0" w:color="auto"/>
            </w:tcBorders>
            <w:shd w:val="clear" w:color="auto" w:fill="auto"/>
            <w:noWrap/>
            <w:vAlign w:val="center"/>
            <w:hideMark/>
          </w:tcPr>
          <w:p w:rsidR="004D746C" w:rsidRDefault="004D746C">
            <w:pPr>
              <w:jc w:val="center"/>
              <w:rPr>
                <w:rFonts w:ascii="宋体" w:eastAsia="宋体" w:hAnsi="宋体" w:cs="宋体"/>
                <w:color w:val="000000"/>
                <w:sz w:val="22"/>
              </w:rPr>
            </w:pPr>
            <w:r>
              <w:rPr>
                <w:rFonts w:hint="eastAsia"/>
                <w:color w:val="000000"/>
                <w:sz w:val="22"/>
              </w:rPr>
              <w:t>0</w:t>
            </w:r>
          </w:p>
        </w:tc>
        <w:tc>
          <w:tcPr>
            <w:tcW w:w="550" w:type="pct"/>
            <w:tcBorders>
              <w:top w:val="nil"/>
              <w:left w:val="nil"/>
              <w:bottom w:val="single" w:sz="4" w:space="0" w:color="auto"/>
              <w:right w:val="single" w:sz="4" w:space="0" w:color="auto"/>
            </w:tcBorders>
            <w:shd w:val="clear" w:color="auto" w:fill="auto"/>
            <w:noWrap/>
            <w:vAlign w:val="center"/>
            <w:hideMark/>
          </w:tcPr>
          <w:p w:rsidR="004D746C" w:rsidRDefault="004D746C">
            <w:pPr>
              <w:jc w:val="center"/>
              <w:rPr>
                <w:rFonts w:ascii="宋体" w:eastAsia="宋体" w:hAnsi="宋体" w:cs="宋体"/>
                <w:color w:val="000000"/>
                <w:sz w:val="22"/>
              </w:rPr>
            </w:pPr>
            <w:r>
              <w:rPr>
                <w:rFonts w:hint="eastAsia"/>
                <w:color w:val="000000"/>
                <w:sz w:val="22"/>
              </w:rPr>
              <w:t>0</w:t>
            </w:r>
          </w:p>
        </w:tc>
        <w:tc>
          <w:tcPr>
            <w:tcW w:w="581" w:type="pct"/>
            <w:tcBorders>
              <w:top w:val="nil"/>
              <w:left w:val="nil"/>
              <w:bottom w:val="single" w:sz="4" w:space="0" w:color="auto"/>
              <w:right w:val="single" w:sz="4" w:space="0" w:color="auto"/>
            </w:tcBorders>
            <w:shd w:val="clear" w:color="auto" w:fill="auto"/>
            <w:noWrap/>
            <w:vAlign w:val="center"/>
            <w:hideMark/>
          </w:tcPr>
          <w:p w:rsidR="004D746C" w:rsidRDefault="004D746C">
            <w:pPr>
              <w:jc w:val="center"/>
              <w:rPr>
                <w:rFonts w:ascii="宋体" w:eastAsia="宋体" w:hAnsi="宋体" w:cs="宋体"/>
                <w:color w:val="000000"/>
                <w:sz w:val="22"/>
              </w:rPr>
            </w:pPr>
            <w:r>
              <w:rPr>
                <w:rFonts w:hint="eastAsia"/>
                <w:color w:val="000000"/>
                <w:sz w:val="22"/>
              </w:rPr>
              <w:t>0</w:t>
            </w:r>
          </w:p>
        </w:tc>
        <w:tc>
          <w:tcPr>
            <w:tcW w:w="583" w:type="pct"/>
            <w:tcBorders>
              <w:top w:val="nil"/>
              <w:left w:val="nil"/>
              <w:bottom w:val="single" w:sz="4" w:space="0" w:color="auto"/>
              <w:right w:val="single" w:sz="4" w:space="0" w:color="auto"/>
            </w:tcBorders>
            <w:shd w:val="clear" w:color="auto" w:fill="auto"/>
            <w:noWrap/>
            <w:vAlign w:val="center"/>
            <w:hideMark/>
          </w:tcPr>
          <w:p w:rsidR="004D746C" w:rsidRDefault="004D746C">
            <w:pPr>
              <w:jc w:val="center"/>
              <w:rPr>
                <w:rFonts w:ascii="宋体" w:eastAsia="宋体" w:hAnsi="宋体" w:cs="宋体"/>
                <w:color w:val="000000"/>
                <w:sz w:val="22"/>
              </w:rPr>
            </w:pPr>
            <w:r>
              <w:rPr>
                <w:rFonts w:hint="eastAsia"/>
                <w:color w:val="000000"/>
                <w:sz w:val="22"/>
              </w:rPr>
              <w:t>0</w:t>
            </w:r>
          </w:p>
        </w:tc>
        <w:tc>
          <w:tcPr>
            <w:tcW w:w="499" w:type="pct"/>
            <w:tcBorders>
              <w:top w:val="nil"/>
              <w:left w:val="nil"/>
              <w:bottom w:val="single" w:sz="4" w:space="0" w:color="auto"/>
              <w:right w:val="single" w:sz="4" w:space="0" w:color="auto"/>
            </w:tcBorders>
            <w:shd w:val="clear" w:color="auto" w:fill="auto"/>
            <w:noWrap/>
            <w:vAlign w:val="center"/>
            <w:hideMark/>
          </w:tcPr>
          <w:p w:rsidR="004D746C" w:rsidRDefault="004D746C">
            <w:pPr>
              <w:jc w:val="center"/>
              <w:rPr>
                <w:rFonts w:ascii="宋体" w:eastAsia="宋体" w:hAnsi="宋体" w:cs="宋体"/>
                <w:color w:val="000000"/>
                <w:sz w:val="22"/>
              </w:rPr>
            </w:pPr>
            <w:r>
              <w:rPr>
                <w:rFonts w:hint="eastAsia"/>
                <w:color w:val="000000"/>
                <w:sz w:val="22"/>
              </w:rPr>
              <w:t>0</w:t>
            </w:r>
          </w:p>
        </w:tc>
        <w:tc>
          <w:tcPr>
            <w:tcW w:w="416" w:type="pct"/>
            <w:tcBorders>
              <w:top w:val="nil"/>
              <w:left w:val="nil"/>
              <w:bottom w:val="single" w:sz="4" w:space="0" w:color="auto"/>
              <w:right w:val="single" w:sz="4" w:space="0" w:color="auto"/>
            </w:tcBorders>
            <w:shd w:val="clear" w:color="auto" w:fill="auto"/>
            <w:noWrap/>
            <w:vAlign w:val="center"/>
            <w:hideMark/>
          </w:tcPr>
          <w:p w:rsidR="004D746C" w:rsidRDefault="004D746C">
            <w:pPr>
              <w:jc w:val="center"/>
              <w:rPr>
                <w:rFonts w:ascii="宋体" w:eastAsia="宋体" w:hAnsi="宋体" w:cs="宋体"/>
                <w:color w:val="000000"/>
                <w:sz w:val="22"/>
              </w:rPr>
            </w:pPr>
            <w:r>
              <w:rPr>
                <w:rFonts w:hint="eastAsia"/>
                <w:color w:val="000000"/>
                <w:sz w:val="22"/>
              </w:rPr>
              <w:t>0</w:t>
            </w:r>
          </w:p>
        </w:tc>
        <w:tc>
          <w:tcPr>
            <w:tcW w:w="415" w:type="pct"/>
            <w:tcBorders>
              <w:top w:val="nil"/>
              <w:left w:val="nil"/>
              <w:bottom w:val="single" w:sz="4" w:space="0" w:color="auto"/>
              <w:right w:val="single" w:sz="4" w:space="0" w:color="auto"/>
            </w:tcBorders>
            <w:shd w:val="clear" w:color="auto" w:fill="auto"/>
            <w:noWrap/>
            <w:vAlign w:val="center"/>
            <w:hideMark/>
          </w:tcPr>
          <w:p w:rsidR="004D746C" w:rsidRDefault="004D746C">
            <w:pPr>
              <w:jc w:val="center"/>
              <w:rPr>
                <w:rFonts w:ascii="宋体" w:eastAsia="宋体" w:hAnsi="宋体" w:cs="宋体"/>
                <w:color w:val="000000"/>
                <w:sz w:val="22"/>
              </w:rPr>
            </w:pPr>
            <w:r>
              <w:rPr>
                <w:rFonts w:hint="eastAsia"/>
                <w:color w:val="000000"/>
                <w:sz w:val="22"/>
              </w:rPr>
              <w:t>0</w:t>
            </w:r>
          </w:p>
        </w:tc>
        <w:tc>
          <w:tcPr>
            <w:tcW w:w="525" w:type="pct"/>
            <w:tcBorders>
              <w:top w:val="nil"/>
              <w:left w:val="nil"/>
              <w:bottom w:val="single" w:sz="4" w:space="0" w:color="auto"/>
              <w:right w:val="single" w:sz="4" w:space="0" w:color="auto"/>
            </w:tcBorders>
            <w:shd w:val="clear" w:color="auto" w:fill="auto"/>
            <w:noWrap/>
            <w:vAlign w:val="center"/>
            <w:hideMark/>
          </w:tcPr>
          <w:p w:rsidR="004D746C" w:rsidRDefault="004D746C">
            <w:pPr>
              <w:jc w:val="center"/>
              <w:rPr>
                <w:rFonts w:ascii="宋体" w:eastAsia="宋体" w:hAnsi="宋体" w:cs="宋体"/>
                <w:color w:val="000000"/>
                <w:sz w:val="22"/>
              </w:rPr>
            </w:pPr>
            <w:r>
              <w:rPr>
                <w:rFonts w:hint="eastAsia"/>
                <w:color w:val="000000"/>
                <w:sz w:val="22"/>
              </w:rPr>
              <w:t>0.00%</w:t>
            </w:r>
          </w:p>
        </w:tc>
      </w:tr>
      <w:tr w:rsidR="004D746C" w:rsidRPr="00C05ED8" w:rsidTr="004D746C">
        <w:trPr>
          <w:trHeight w:val="270"/>
        </w:trPr>
        <w:tc>
          <w:tcPr>
            <w:tcW w:w="564" w:type="pct"/>
            <w:tcBorders>
              <w:top w:val="nil"/>
              <w:left w:val="single" w:sz="4" w:space="0" w:color="auto"/>
              <w:bottom w:val="single" w:sz="4" w:space="0" w:color="auto"/>
              <w:right w:val="single" w:sz="4" w:space="0" w:color="auto"/>
            </w:tcBorders>
            <w:shd w:val="clear" w:color="000000" w:fill="EBF1DE"/>
            <w:noWrap/>
            <w:vAlign w:val="center"/>
            <w:hideMark/>
          </w:tcPr>
          <w:p w:rsidR="004D746C" w:rsidRPr="00A8388F" w:rsidRDefault="004D746C" w:rsidP="00C05ED8">
            <w:pPr>
              <w:widowControl/>
              <w:jc w:val="center"/>
              <w:rPr>
                <w:rFonts w:ascii="宋体" w:eastAsia="宋体" w:hAnsi="宋体" w:cs="宋体"/>
                <w:b/>
                <w:color w:val="000000"/>
                <w:kern w:val="0"/>
                <w:szCs w:val="21"/>
              </w:rPr>
            </w:pPr>
            <w:r w:rsidRPr="00A8388F">
              <w:rPr>
                <w:rFonts w:ascii="宋体" w:eastAsia="宋体" w:hAnsi="宋体" w:cs="宋体" w:hint="eastAsia"/>
                <w:b/>
                <w:color w:val="000000"/>
                <w:kern w:val="0"/>
                <w:szCs w:val="21"/>
              </w:rPr>
              <w:t>商住</w:t>
            </w:r>
          </w:p>
        </w:tc>
        <w:tc>
          <w:tcPr>
            <w:tcW w:w="334" w:type="pct"/>
            <w:tcBorders>
              <w:top w:val="nil"/>
              <w:left w:val="nil"/>
              <w:bottom w:val="single" w:sz="4" w:space="0" w:color="auto"/>
              <w:right w:val="single" w:sz="4" w:space="0" w:color="auto"/>
            </w:tcBorders>
            <w:shd w:val="clear" w:color="000000" w:fill="EBF1DE"/>
            <w:noWrap/>
            <w:vAlign w:val="center"/>
            <w:hideMark/>
          </w:tcPr>
          <w:p w:rsidR="004D746C" w:rsidRDefault="004D746C">
            <w:pPr>
              <w:jc w:val="center"/>
              <w:rPr>
                <w:rFonts w:ascii="宋体" w:eastAsia="宋体" w:hAnsi="宋体" w:cs="宋体"/>
                <w:color w:val="000000"/>
                <w:sz w:val="22"/>
              </w:rPr>
            </w:pPr>
            <w:r>
              <w:rPr>
                <w:rFonts w:hint="eastAsia"/>
                <w:color w:val="000000"/>
                <w:sz w:val="22"/>
              </w:rPr>
              <w:t>2</w:t>
            </w:r>
          </w:p>
        </w:tc>
        <w:tc>
          <w:tcPr>
            <w:tcW w:w="533" w:type="pct"/>
            <w:tcBorders>
              <w:top w:val="nil"/>
              <w:left w:val="nil"/>
              <w:bottom w:val="single" w:sz="4" w:space="0" w:color="auto"/>
              <w:right w:val="single" w:sz="4" w:space="0" w:color="auto"/>
            </w:tcBorders>
            <w:shd w:val="clear" w:color="000000" w:fill="EBF1DE"/>
            <w:noWrap/>
            <w:vAlign w:val="center"/>
            <w:hideMark/>
          </w:tcPr>
          <w:p w:rsidR="004D746C" w:rsidRDefault="004D746C">
            <w:pPr>
              <w:jc w:val="center"/>
              <w:rPr>
                <w:rFonts w:ascii="宋体" w:eastAsia="宋体" w:hAnsi="宋体" w:cs="宋体"/>
                <w:color w:val="000000"/>
                <w:sz w:val="22"/>
              </w:rPr>
            </w:pPr>
            <w:r>
              <w:rPr>
                <w:rFonts w:hint="eastAsia"/>
                <w:color w:val="000000"/>
                <w:sz w:val="22"/>
              </w:rPr>
              <w:t>3.57</w:t>
            </w:r>
          </w:p>
        </w:tc>
        <w:tc>
          <w:tcPr>
            <w:tcW w:w="550" w:type="pct"/>
            <w:tcBorders>
              <w:top w:val="nil"/>
              <w:left w:val="nil"/>
              <w:bottom w:val="single" w:sz="4" w:space="0" w:color="auto"/>
              <w:right w:val="single" w:sz="4" w:space="0" w:color="auto"/>
            </w:tcBorders>
            <w:shd w:val="clear" w:color="000000" w:fill="EBF1DE"/>
            <w:noWrap/>
            <w:vAlign w:val="center"/>
            <w:hideMark/>
          </w:tcPr>
          <w:p w:rsidR="004D746C" w:rsidRDefault="004D746C">
            <w:pPr>
              <w:jc w:val="center"/>
              <w:rPr>
                <w:rFonts w:ascii="宋体" w:eastAsia="宋体" w:hAnsi="宋体" w:cs="宋体"/>
                <w:color w:val="000000"/>
                <w:sz w:val="22"/>
              </w:rPr>
            </w:pPr>
            <w:r>
              <w:rPr>
                <w:rFonts w:hint="eastAsia"/>
                <w:color w:val="000000"/>
                <w:sz w:val="22"/>
              </w:rPr>
              <w:t>12.53</w:t>
            </w:r>
          </w:p>
        </w:tc>
        <w:tc>
          <w:tcPr>
            <w:tcW w:w="581" w:type="pct"/>
            <w:tcBorders>
              <w:top w:val="nil"/>
              <w:left w:val="nil"/>
              <w:bottom w:val="single" w:sz="4" w:space="0" w:color="auto"/>
              <w:right w:val="single" w:sz="4" w:space="0" w:color="auto"/>
            </w:tcBorders>
            <w:shd w:val="clear" w:color="000000" w:fill="EBF1DE"/>
            <w:noWrap/>
            <w:vAlign w:val="bottom"/>
            <w:hideMark/>
          </w:tcPr>
          <w:p w:rsidR="004D746C" w:rsidRDefault="004D746C">
            <w:pPr>
              <w:jc w:val="center"/>
              <w:rPr>
                <w:rFonts w:ascii="宋体" w:eastAsia="宋体" w:hAnsi="宋体" w:cs="宋体"/>
                <w:color w:val="000000"/>
                <w:sz w:val="22"/>
              </w:rPr>
            </w:pPr>
            <w:r>
              <w:rPr>
                <w:rFonts w:hint="eastAsia"/>
                <w:color w:val="000000"/>
                <w:sz w:val="22"/>
              </w:rPr>
              <w:t xml:space="preserve">6.27 </w:t>
            </w:r>
          </w:p>
        </w:tc>
        <w:tc>
          <w:tcPr>
            <w:tcW w:w="583" w:type="pct"/>
            <w:tcBorders>
              <w:top w:val="nil"/>
              <w:left w:val="nil"/>
              <w:bottom w:val="single" w:sz="4" w:space="0" w:color="auto"/>
              <w:right w:val="single" w:sz="4" w:space="0" w:color="auto"/>
            </w:tcBorders>
            <w:shd w:val="clear" w:color="000000" w:fill="EBF1DE"/>
            <w:noWrap/>
            <w:vAlign w:val="center"/>
            <w:hideMark/>
          </w:tcPr>
          <w:p w:rsidR="004D746C" w:rsidRDefault="004D746C">
            <w:pPr>
              <w:jc w:val="center"/>
              <w:rPr>
                <w:rFonts w:ascii="宋体" w:eastAsia="宋体" w:hAnsi="宋体" w:cs="宋体"/>
                <w:color w:val="000000"/>
                <w:sz w:val="22"/>
              </w:rPr>
            </w:pPr>
            <w:r>
              <w:rPr>
                <w:rFonts w:hint="eastAsia"/>
                <w:color w:val="000000"/>
                <w:sz w:val="22"/>
              </w:rPr>
              <w:t>49.32</w:t>
            </w:r>
          </w:p>
        </w:tc>
        <w:tc>
          <w:tcPr>
            <w:tcW w:w="499" w:type="pct"/>
            <w:tcBorders>
              <w:top w:val="nil"/>
              <w:left w:val="nil"/>
              <w:bottom w:val="single" w:sz="4" w:space="0" w:color="auto"/>
              <w:right w:val="single" w:sz="4" w:space="0" w:color="auto"/>
            </w:tcBorders>
            <w:shd w:val="clear" w:color="000000" w:fill="EBF1DE"/>
            <w:noWrap/>
            <w:vAlign w:val="center"/>
            <w:hideMark/>
          </w:tcPr>
          <w:p w:rsidR="004D746C" w:rsidRDefault="004D746C">
            <w:pPr>
              <w:jc w:val="center"/>
              <w:rPr>
                <w:rFonts w:ascii="宋体" w:eastAsia="宋体" w:hAnsi="宋体" w:cs="宋体"/>
                <w:color w:val="000000"/>
                <w:sz w:val="22"/>
              </w:rPr>
            </w:pPr>
            <w:r>
              <w:rPr>
                <w:rFonts w:hint="eastAsia"/>
                <w:color w:val="000000"/>
                <w:sz w:val="22"/>
              </w:rPr>
              <w:t xml:space="preserve">3.94 </w:t>
            </w:r>
          </w:p>
        </w:tc>
        <w:tc>
          <w:tcPr>
            <w:tcW w:w="416" w:type="pct"/>
            <w:tcBorders>
              <w:top w:val="nil"/>
              <w:left w:val="nil"/>
              <w:bottom w:val="single" w:sz="4" w:space="0" w:color="auto"/>
              <w:right w:val="single" w:sz="4" w:space="0" w:color="auto"/>
            </w:tcBorders>
            <w:shd w:val="clear" w:color="000000" w:fill="EBF1DE"/>
            <w:noWrap/>
            <w:vAlign w:val="bottom"/>
            <w:hideMark/>
          </w:tcPr>
          <w:p w:rsidR="004D746C" w:rsidRDefault="004D746C">
            <w:pPr>
              <w:jc w:val="center"/>
              <w:rPr>
                <w:rFonts w:ascii="宋体" w:eastAsia="宋体" w:hAnsi="宋体" w:cs="宋体"/>
                <w:color w:val="000000"/>
                <w:sz w:val="22"/>
              </w:rPr>
            </w:pPr>
            <w:r>
              <w:rPr>
                <w:rFonts w:hint="eastAsia"/>
                <w:color w:val="000000"/>
                <w:sz w:val="22"/>
              </w:rPr>
              <w:t>723</w:t>
            </w:r>
          </w:p>
        </w:tc>
        <w:tc>
          <w:tcPr>
            <w:tcW w:w="415" w:type="pct"/>
            <w:tcBorders>
              <w:top w:val="nil"/>
              <w:left w:val="nil"/>
              <w:bottom w:val="single" w:sz="4" w:space="0" w:color="auto"/>
              <w:right w:val="single" w:sz="4" w:space="0" w:color="auto"/>
            </w:tcBorders>
            <w:shd w:val="clear" w:color="000000" w:fill="EBF1DE"/>
            <w:noWrap/>
            <w:vAlign w:val="bottom"/>
            <w:hideMark/>
          </w:tcPr>
          <w:p w:rsidR="004D746C" w:rsidRDefault="004D746C">
            <w:pPr>
              <w:jc w:val="center"/>
              <w:rPr>
                <w:rFonts w:ascii="宋体" w:eastAsia="宋体" w:hAnsi="宋体" w:cs="宋体"/>
                <w:color w:val="000000"/>
                <w:sz w:val="22"/>
              </w:rPr>
            </w:pPr>
            <w:r>
              <w:rPr>
                <w:rFonts w:hint="eastAsia"/>
                <w:color w:val="000000"/>
                <w:sz w:val="22"/>
              </w:rPr>
              <w:t>0</w:t>
            </w:r>
          </w:p>
        </w:tc>
        <w:tc>
          <w:tcPr>
            <w:tcW w:w="525" w:type="pct"/>
            <w:tcBorders>
              <w:top w:val="nil"/>
              <w:left w:val="nil"/>
              <w:bottom w:val="single" w:sz="4" w:space="0" w:color="auto"/>
              <w:right w:val="single" w:sz="4" w:space="0" w:color="auto"/>
            </w:tcBorders>
            <w:shd w:val="clear" w:color="000000" w:fill="EBF1DE"/>
            <w:noWrap/>
            <w:vAlign w:val="center"/>
            <w:hideMark/>
          </w:tcPr>
          <w:p w:rsidR="004D746C" w:rsidRDefault="004D746C">
            <w:pPr>
              <w:jc w:val="center"/>
              <w:rPr>
                <w:rFonts w:ascii="宋体" w:eastAsia="宋体" w:hAnsi="宋体" w:cs="宋体"/>
                <w:color w:val="000000"/>
                <w:sz w:val="22"/>
              </w:rPr>
            </w:pPr>
            <w:r>
              <w:rPr>
                <w:rFonts w:hint="eastAsia"/>
                <w:color w:val="000000"/>
                <w:sz w:val="22"/>
              </w:rPr>
              <w:t>0.00%</w:t>
            </w:r>
          </w:p>
        </w:tc>
      </w:tr>
      <w:tr w:rsidR="004D746C" w:rsidRPr="00C05ED8" w:rsidTr="004D746C">
        <w:trPr>
          <w:trHeight w:val="27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rsidR="004D746C" w:rsidRPr="00A8388F" w:rsidRDefault="004D746C" w:rsidP="00C05ED8">
            <w:pPr>
              <w:widowControl/>
              <w:jc w:val="center"/>
              <w:rPr>
                <w:rFonts w:ascii="宋体" w:eastAsia="宋体" w:hAnsi="宋体" w:cs="宋体"/>
                <w:b/>
                <w:color w:val="000000"/>
                <w:kern w:val="0"/>
                <w:szCs w:val="21"/>
              </w:rPr>
            </w:pPr>
            <w:r w:rsidRPr="00A8388F">
              <w:rPr>
                <w:rFonts w:ascii="宋体" w:eastAsia="宋体" w:hAnsi="宋体" w:cs="宋体" w:hint="eastAsia"/>
                <w:b/>
                <w:color w:val="000000"/>
                <w:kern w:val="0"/>
                <w:szCs w:val="21"/>
              </w:rPr>
              <w:t>商服</w:t>
            </w:r>
          </w:p>
        </w:tc>
        <w:tc>
          <w:tcPr>
            <w:tcW w:w="334" w:type="pct"/>
            <w:tcBorders>
              <w:top w:val="nil"/>
              <w:left w:val="nil"/>
              <w:bottom w:val="single" w:sz="4" w:space="0" w:color="auto"/>
              <w:right w:val="single" w:sz="4" w:space="0" w:color="auto"/>
            </w:tcBorders>
            <w:shd w:val="clear" w:color="auto" w:fill="auto"/>
            <w:noWrap/>
            <w:vAlign w:val="center"/>
            <w:hideMark/>
          </w:tcPr>
          <w:p w:rsidR="004D746C" w:rsidRDefault="004D746C">
            <w:pPr>
              <w:jc w:val="center"/>
              <w:rPr>
                <w:rFonts w:ascii="宋体" w:eastAsia="宋体" w:hAnsi="宋体" w:cs="宋体"/>
                <w:color w:val="000000"/>
                <w:sz w:val="22"/>
              </w:rPr>
            </w:pPr>
            <w:r>
              <w:rPr>
                <w:rFonts w:hint="eastAsia"/>
                <w:color w:val="000000"/>
                <w:sz w:val="22"/>
              </w:rPr>
              <w:t>0</w:t>
            </w:r>
          </w:p>
        </w:tc>
        <w:tc>
          <w:tcPr>
            <w:tcW w:w="533" w:type="pct"/>
            <w:tcBorders>
              <w:top w:val="nil"/>
              <w:left w:val="nil"/>
              <w:bottom w:val="single" w:sz="4" w:space="0" w:color="auto"/>
              <w:right w:val="single" w:sz="4" w:space="0" w:color="auto"/>
            </w:tcBorders>
            <w:shd w:val="clear" w:color="auto" w:fill="auto"/>
            <w:noWrap/>
            <w:vAlign w:val="center"/>
            <w:hideMark/>
          </w:tcPr>
          <w:p w:rsidR="004D746C" w:rsidRDefault="004D746C">
            <w:pPr>
              <w:jc w:val="center"/>
              <w:rPr>
                <w:rFonts w:ascii="宋体" w:eastAsia="宋体" w:hAnsi="宋体" w:cs="宋体"/>
                <w:color w:val="000000"/>
                <w:sz w:val="22"/>
              </w:rPr>
            </w:pPr>
            <w:r>
              <w:rPr>
                <w:rFonts w:hint="eastAsia"/>
                <w:color w:val="000000"/>
                <w:sz w:val="22"/>
              </w:rPr>
              <w:t>0</w:t>
            </w:r>
          </w:p>
        </w:tc>
        <w:tc>
          <w:tcPr>
            <w:tcW w:w="550" w:type="pct"/>
            <w:tcBorders>
              <w:top w:val="nil"/>
              <w:left w:val="nil"/>
              <w:bottom w:val="single" w:sz="4" w:space="0" w:color="auto"/>
              <w:right w:val="single" w:sz="4" w:space="0" w:color="auto"/>
            </w:tcBorders>
            <w:shd w:val="clear" w:color="auto" w:fill="auto"/>
            <w:noWrap/>
            <w:vAlign w:val="center"/>
            <w:hideMark/>
          </w:tcPr>
          <w:p w:rsidR="004D746C" w:rsidRDefault="004D746C">
            <w:pPr>
              <w:jc w:val="center"/>
              <w:rPr>
                <w:rFonts w:ascii="宋体" w:eastAsia="宋体" w:hAnsi="宋体" w:cs="宋体"/>
                <w:color w:val="000000"/>
                <w:sz w:val="22"/>
              </w:rPr>
            </w:pPr>
            <w:r>
              <w:rPr>
                <w:rFonts w:hint="eastAsia"/>
                <w:color w:val="000000"/>
                <w:sz w:val="22"/>
              </w:rPr>
              <w:t>0</w:t>
            </w:r>
          </w:p>
        </w:tc>
        <w:tc>
          <w:tcPr>
            <w:tcW w:w="581" w:type="pct"/>
            <w:tcBorders>
              <w:top w:val="nil"/>
              <w:left w:val="nil"/>
              <w:bottom w:val="single" w:sz="4" w:space="0" w:color="auto"/>
              <w:right w:val="single" w:sz="4" w:space="0" w:color="auto"/>
            </w:tcBorders>
            <w:shd w:val="clear" w:color="auto" w:fill="auto"/>
            <w:noWrap/>
            <w:vAlign w:val="bottom"/>
            <w:hideMark/>
          </w:tcPr>
          <w:p w:rsidR="004D746C" w:rsidRDefault="004D746C">
            <w:pPr>
              <w:jc w:val="center"/>
              <w:rPr>
                <w:rFonts w:ascii="宋体" w:eastAsia="宋体" w:hAnsi="宋体" w:cs="宋体"/>
                <w:color w:val="000000"/>
                <w:sz w:val="22"/>
              </w:rPr>
            </w:pPr>
            <w:r>
              <w:rPr>
                <w:rFonts w:hint="eastAsia"/>
                <w:color w:val="000000"/>
                <w:sz w:val="22"/>
              </w:rPr>
              <w:t xml:space="preserve">0.00 </w:t>
            </w:r>
          </w:p>
        </w:tc>
        <w:tc>
          <w:tcPr>
            <w:tcW w:w="583" w:type="pct"/>
            <w:tcBorders>
              <w:top w:val="nil"/>
              <w:left w:val="nil"/>
              <w:bottom w:val="single" w:sz="4" w:space="0" w:color="auto"/>
              <w:right w:val="single" w:sz="4" w:space="0" w:color="auto"/>
            </w:tcBorders>
            <w:shd w:val="clear" w:color="auto" w:fill="auto"/>
            <w:noWrap/>
            <w:vAlign w:val="center"/>
            <w:hideMark/>
          </w:tcPr>
          <w:p w:rsidR="004D746C" w:rsidRDefault="004D746C">
            <w:pPr>
              <w:jc w:val="center"/>
              <w:rPr>
                <w:rFonts w:ascii="宋体" w:eastAsia="宋体" w:hAnsi="宋体" w:cs="宋体"/>
                <w:color w:val="000000"/>
                <w:sz w:val="22"/>
              </w:rPr>
            </w:pPr>
            <w:r>
              <w:rPr>
                <w:rFonts w:hint="eastAsia"/>
                <w:color w:val="000000"/>
                <w:sz w:val="22"/>
              </w:rPr>
              <w:t>0</w:t>
            </w:r>
          </w:p>
        </w:tc>
        <w:tc>
          <w:tcPr>
            <w:tcW w:w="499" w:type="pct"/>
            <w:tcBorders>
              <w:top w:val="nil"/>
              <w:left w:val="nil"/>
              <w:bottom w:val="single" w:sz="4" w:space="0" w:color="auto"/>
              <w:right w:val="single" w:sz="4" w:space="0" w:color="auto"/>
            </w:tcBorders>
            <w:shd w:val="clear" w:color="auto" w:fill="auto"/>
            <w:noWrap/>
            <w:vAlign w:val="center"/>
            <w:hideMark/>
          </w:tcPr>
          <w:p w:rsidR="004D746C" w:rsidRDefault="004D746C">
            <w:pPr>
              <w:jc w:val="center"/>
              <w:rPr>
                <w:rFonts w:ascii="宋体" w:eastAsia="宋体" w:hAnsi="宋体" w:cs="宋体"/>
                <w:color w:val="000000"/>
                <w:sz w:val="22"/>
              </w:rPr>
            </w:pPr>
            <w:r>
              <w:rPr>
                <w:rFonts w:hint="eastAsia"/>
                <w:color w:val="000000"/>
                <w:sz w:val="22"/>
              </w:rPr>
              <w:t xml:space="preserve">0.00 </w:t>
            </w:r>
          </w:p>
        </w:tc>
        <w:tc>
          <w:tcPr>
            <w:tcW w:w="416" w:type="pct"/>
            <w:tcBorders>
              <w:top w:val="nil"/>
              <w:left w:val="nil"/>
              <w:bottom w:val="single" w:sz="4" w:space="0" w:color="auto"/>
              <w:right w:val="single" w:sz="4" w:space="0" w:color="auto"/>
            </w:tcBorders>
            <w:shd w:val="clear" w:color="auto" w:fill="auto"/>
            <w:noWrap/>
            <w:vAlign w:val="center"/>
            <w:hideMark/>
          </w:tcPr>
          <w:p w:rsidR="004D746C" w:rsidRDefault="004D746C">
            <w:pPr>
              <w:jc w:val="center"/>
              <w:rPr>
                <w:rFonts w:ascii="宋体" w:eastAsia="宋体" w:hAnsi="宋体" w:cs="宋体"/>
                <w:color w:val="000000"/>
                <w:sz w:val="22"/>
              </w:rPr>
            </w:pPr>
            <w:r>
              <w:rPr>
                <w:rFonts w:hint="eastAsia"/>
                <w:color w:val="000000"/>
                <w:sz w:val="22"/>
              </w:rPr>
              <w:t>0</w:t>
            </w:r>
          </w:p>
        </w:tc>
        <w:tc>
          <w:tcPr>
            <w:tcW w:w="415" w:type="pct"/>
            <w:tcBorders>
              <w:top w:val="nil"/>
              <w:left w:val="nil"/>
              <w:bottom w:val="single" w:sz="4" w:space="0" w:color="auto"/>
              <w:right w:val="single" w:sz="4" w:space="0" w:color="auto"/>
            </w:tcBorders>
            <w:shd w:val="clear" w:color="auto" w:fill="auto"/>
            <w:noWrap/>
            <w:vAlign w:val="center"/>
            <w:hideMark/>
          </w:tcPr>
          <w:p w:rsidR="004D746C" w:rsidRDefault="004D746C">
            <w:pPr>
              <w:jc w:val="center"/>
              <w:rPr>
                <w:rFonts w:ascii="宋体" w:eastAsia="宋体" w:hAnsi="宋体" w:cs="宋体"/>
                <w:color w:val="000000"/>
                <w:sz w:val="22"/>
              </w:rPr>
            </w:pPr>
            <w:r>
              <w:rPr>
                <w:rFonts w:hint="eastAsia"/>
                <w:color w:val="000000"/>
                <w:sz w:val="22"/>
              </w:rPr>
              <w:t>0</w:t>
            </w:r>
          </w:p>
        </w:tc>
        <w:tc>
          <w:tcPr>
            <w:tcW w:w="525" w:type="pct"/>
            <w:tcBorders>
              <w:top w:val="nil"/>
              <w:left w:val="nil"/>
              <w:bottom w:val="single" w:sz="4" w:space="0" w:color="auto"/>
              <w:right w:val="single" w:sz="4" w:space="0" w:color="auto"/>
            </w:tcBorders>
            <w:shd w:val="clear" w:color="auto" w:fill="auto"/>
            <w:noWrap/>
            <w:vAlign w:val="center"/>
            <w:hideMark/>
          </w:tcPr>
          <w:p w:rsidR="004D746C" w:rsidRDefault="004D746C">
            <w:pPr>
              <w:jc w:val="center"/>
              <w:rPr>
                <w:rFonts w:ascii="宋体" w:eastAsia="宋体" w:hAnsi="宋体" w:cs="宋体"/>
                <w:color w:val="000000"/>
                <w:sz w:val="22"/>
              </w:rPr>
            </w:pPr>
            <w:r>
              <w:rPr>
                <w:rFonts w:hint="eastAsia"/>
                <w:color w:val="000000"/>
                <w:sz w:val="22"/>
              </w:rPr>
              <w:t>0.00%</w:t>
            </w:r>
          </w:p>
        </w:tc>
      </w:tr>
      <w:tr w:rsidR="004D746C" w:rsidRPr="00C05ED8" w:rsidTr="004D746C">
        <w:trPr>
          <w:trHeight w:val="270"/>
        </w:trPr>
        <w:tc>
          <w:tcPr>
            <w:tcW w:w="564" w:type="pct"/>
            <w:tcBorders>
              <w:top w:val="nil"/>
              <w:left w:val="single" w:sz="4" w:space="0" w:color="auto"/>
              <w:bottom w:val="single" w:sz="4" w:space="0" w:color="auto"/>
              <w:right w:val="single" w:sz="4" w:space="0" w:color="auto"/>
            </w:tcBorders>
            <w:shd w:val="clear" w:color="000000" w:fill="EBF1DE"/>
            <w:noWrap/>
            <w:vAlign w:val="center"/>
            <w:hideMark/>
          </w:tcPr>
          <w:p w:rsidR="004D746C" w:rsidRPr="00A8388F" w:rsidRDefault="004D746C" w:rsidP="00C05ED8">
            <w:pPr>
              <w:widowControl/>
              <w:jc w:val="center"/>
              <w:rPr>
                <w:rFonts w:ascii="宋体" w:eastAsia="宋体" w:hAnsi="宋体" w:cs="宋体"/>
                <w:b/>
                <w:color w:val="000000"/>
                <w:kern w:val="0"/>
                <w:szCs w:val="21"/>
              </w:rPr>
            </w:pPr>
            <w:r w:rsidRPr="00A8388F">
              <w:rPr>
                <w:rFonts w:ascii="宋体" w:eastAsia="宋体" w:hAnsi="宋体" w:cs="宋体" w:hint="eastAsia"/>
                <w:b/>
                <w:color w:val="000000"/>
                <w:kern w:val="0"/>
                <w:szCs w:val="21"/>
              </w:rPr>
              <w:t>总计</w:t>
            </w:r>
          </w:p>
        </w:tc>
        <w:tc>
          <w:tcPr>
            <w:tcW w:w="334" w:type="pct"/>
            <w:tcBorders>
              <w:top w:val="nil"/>
              <w:left w:val="nil"/>
              <w:bottom w:val="single" w:sz="4" w:space="0" w:color="auto"/>
              <w:right w:val="single" w:sz="4" w:space="0" w:color="auto"/>
            </w:tcBorders>
            <w:shd w:val="clear" w:color="000000" w:fill="EBF1DE"/>
            <w:noWrap/>
            <w:vAlign w:val="center"/>
            <w:hideMark/>
          </w:tcPr>
          <w:p w:rsidR="004D746C" w:rsidRDefault="004D746C">
            <w:pPr>
              <w:jc w:val="center"/>
              <w:rPr>
                <w:rFonts w:ascii="宋体" w:eastAsia="宋体" w:hAnsi="宋体" w:cs="宋体"/>
                <w:color w:val="000000"/>
                <w:sz w:val="22"/>
              </w:rPr>
            </w:pPr>
            <w:r>
              <w:rPr>
                <w:rFonts w:hint="eastAsia"/>
                <w:color w:val="000000"/>
                <w:sz w:val="22"/>
              </w:rPr>
              <w:t>2</w:t>
            </w:r>
          </w:p>
        </w:tc>
        <w:tc>
          <w:tcPr>
            <w:tcW w:w="533" w:type="pct"/>
            <w:tcBorders>
              <w:top w:val="nil"/>
              <w:left w:val="nil"/>
              <w:bottom w:val="single" w:sz="4" w:space="0" w:color="auto"/>
              <w:right w:val="single" w:sz="4" w:space="0" w:color="auto"/>
            </w:tcBorders>
            <w:shd w:val="clear" w:color="000000" w:fill="EBF1DE"/>
            <w:noWrap/>
            <w:vAlign w:val="center"/>
            <w:hideMark/>
          </w:tcPr>
          <w:p w:rsidR="004D746C" w:rsidRDefault="004D746C">
            <w:pPr>
              <w:jc w:val="center"/>
              <w:rPr>
                <w:rFonts w:ascii="宋体" w:eastAsia="宋体" w:hAnsi="宋体" w:cs="宋体"/>
                <w:color w:val="000000"/>
                <w:sz w:val="22"/>
              </w:rPr>
            </w:pPr>
            <w:r>
              <w:rPr>
                <w:rFonts w:hint="eastAsia"/>
                <w:color w:val="000000"/>
                <w:sz w:val="22"/>
              </w:rPr>
              <w:t>3.57</w:t>
            </w:r>
          </w:p>
        </w:tc>
        <w:tc>
          <w:tcPr>
            <w:tcW w:w="550" w:type="pct"/>
            <w:tcBorders>
              <w:top w:val="nil"/>
              <w:left w:val="nil"/>
              <w:bottom w:val="single" w:sz="4" w:space="0" w:color="auto"/>
              <w:right w:val="single" w:sz="4" w:space="0" w:color="auto"/>
            </w:tcBorders>
            <w:shd w:val="clear" w:color="000000" w:fill="EBF1DE"/>
            <w:noWrap/>
            <w:vAlign w:val="center"/>
            <w:hideMark/>
          </w:tcPr>
          <w:p w:rsidR="004D746C" w:rsidRDefault="004D746C">
            <w:pPr>
              <w:jc w:val="center"/>
              <w:rPr>
                <w:rFonts w:ascii="宋体" w:eastAsia="宋体" w:hAnsi="宋体" w:cs="宋体"/>
                <w:color w:val="000000"/>
                <w:sz w:val="22"/>
              </w:rPr>
            </w:pPr>
            <w:r>
              <w:rPr>
                <w:rFonts w:hint="eastAsia"/>
                <w:color w:val="000000"/>
                <w:sz w:val="22"/>
              </w:rPr>
              <w:t>12.53</w:t>
            </w:r>
          </w:p>
        </w:tc>
        <w:tc>
          <w:tcPr>
            <w:tcW w:w="581" w:type="pct"/>
            <w:tcBorders>
              <w:top w:val="nil"/>
              <w:left w:val="nil"/>
              <w:bottom w:val="single" w:sz="4" w:space="0" w:color="auto"/>
              <w:right w:val="single" w:sz="4" w:space="0" w:color="auto"/>
            </w:tcBorders>
            <w:shd w:val="clear" w:color="000000" w:fill="EBF1DE"/>
            <w:noWrap/>
            <w:vAlign w:val="bottom"/>
            <w:hideMark/>
          </w:tcPr>
          <w:p w:rsidR="004D746C" w:rsidRDefault="004D746C">
            <w:pPr>
              <w:jc w:val="center"/>
              <w:rPr>
                <w:rFonts w:ascii="宋体" w:eastAsia="宋体" w:hAnsi="宋体" w:cs="宋体"/>
                <w:color w:val="000000"/>
                <w:sz w:val="22"/>
              </w:rPr>
            </w:pPr>
            <w:r>
              <w:rPr>
                <w:rFonts w:hint="eastAsia"/>
                <w:color w:val="000000"/>
                <w:sz w:val="22"/>
              </w:rPr>
              <w:t xml:space="preserve">6.27 </w:t>
            </w:r>
          </w:p>
        </w:tc>
        <w:tc>
          <w:tcPr>
            <w:tcW w:w="583" w:type="pct"/>
            <w:tcBorders>
              <w:top w:val="nil"/>
              <w:left w:val="nil"/>
              <w:bottom w:val="single" w:sz="4" w:space="0" w:color="auto"/>
              <w:right w:val="single" w:sz="4" w:space="0" w:color="auto"/>
            </w:tcBorders>
            <w:shd w:val="clear" w:color="000000" w:fill="EBF1DE"/>
            <w:noWrap/>
            <w:vAlign w:val="center"/>
            <w:hideMark/>
          </w:tcPr>
          <w:p w:rsidR="004D746C" w:rsidRDefault="004D746C">
            <w:pPr>
              <w:jc w:val="center"/>
              <w:rPr>
                <w:rFonts w:ascii="宋体" w:eastAsia="宋体" w:hAnsi="宋体" w:cs="宋体"/>
                <w:color w:val="000000"/>
                <w:sz w:val="22"/>
              </w:rPr>
            </w:pPr>
            <w:r>
              <w:rPr>
                <w:rFonts w:hint="eastAsia"/>
                <w:color w:val="000000"/>
                <w:sz w:val="22"/>
              </w:rPr>
              <w:t>49.32</w:t>
            </w:r>
          </w:p>
        </w:tc>
        <w:tc>
          <w:tcPr>
            <w:tcW w:w="499" w:type="pct"/>
            <w:tcBorders>
              <w:top w:val="nil"/>
              <w:left w:val="nil"/>
              <w:bottom w:val="single" w:sz="4" w:space="0" w:color="auto"/>
              <w:right w:val="single" w:sz="4" w:space="0" w:color="auto"/>
            </w:tcBorders>
            <w:shd w:val="clear" w:color="000000" w:fill="EBF1DE"/>
            <w:noWrap/>
            <w:vAlign w:val="center"/>
            <w:hideMark/>
          </w:tcPr>
          <w:p w:rsidR="004D746C" w:rsidRDefault="004D746C">
            <w:pPr>
              <w:jc w:val="center"/>
              <w:rPr>
                <w:rFonts w:ascii="宋体" w:eastAsia="宋体" w:hAnsi="宋体" w:cs="宋体"/>
                <w:color w:val="000000"/>
                <w:sz w:val="22"/>
              </w:rPr>
            </w:pPr>
            <w:r>
              <w:rPr>
                <w:rFonts w:hint="eastAsia"/>
                <w:color w:val="000000"/>
                <w:sz w:val="22"/>
              </w:rPr>
              <w:t xml:space="preserve">3.94 </w:t>
            </w:r>
          </w:p>
        </w:tc>
        <w:tc>
          <w:tcPr>
            <w:tcW w:w="416" w:type="pct"/>
            <w:tcBorders>
              <w:top w:val="nil"/>
              <w:left w:val="nil"/>
              <w:bottom w:val="single" w:sz="4" w:space="0" w:color="auto"/>
              <w:right w:val="single" w:sz="4" w:space="0" w:color="auto"/>
            </w:tcBorders>
            <w:shd w:val="clear" w:color="000000" w:fill="EBF1DE"/>
            <w:noWrap/>
            <w:vAlign w:val="bottom"/>
            <w:hideMark/>
          </w:tcPr>
          <w:p w:rsidR="004D746C" w:rsidRDefault="004D746C">
            <w:pPr>
              <w:jc w:val="center"/>
              <w:rPr>
                <w:rFonts w:ascii="宋体" w:eastAsia="宋体" w:hAnsi="宋体" w:cs="宋体"/>
                <w:color w:val="000000"/>
                <w:sz w:val="22"/>
              </w:rPr>
            </w:pPr>
            <w:r>
              <w:rPr>
                <w:rFonts w:hint="eastAsia"/>
                <w:color w:val="000000"/>
                <w:sz w:val="22"/>
              </w:rPr>
              <w:t>723</w:t>
            </w:r>
          </w:p>
        </w:tc>
        <w:tc>
          <w:tcPr>
            <w:tcW w:w="415" w:type="pct"/>
            <w:tcBorders>
              <w:top w:val="nil"/>
              <w:left w:val="nil"/>
              <w:bottom w:val="single" w:sz="4" w:space="0" w:color="auto"/>
              <w:right w:val="single" w:sz="4" w:space="0" w:color="auto"/>
            </w:tcBorders>
            <w:shd w:val="clear" w:color="000000" w:fill="EBF1DE"/>
            <w:noWrap/>
            <w:vAlign w:val="center"/>
            <w:hideMark/>
          </w:tcPr>
          <w:p w:rsidR="004D746C" w:rsidRDefault="004D746C">
            <w:pPr>
              <w:jc w:val="center"/>
              <w:rPr>
                <w:rFonts w:ascii="宋体" w:eastAsia="宋体" w:hAnsi="宋体" w:cs="宋体"/>
                <w:color w:val="000000"/>
                <w:sz w:val="22"/>
              </w:rPr>
            </w:pPr>
            <w:r>
              <w:rPr>
                <w:rFonts w:hint="eastAsia"/>
                <w:color w:val="000000"/>
                <w:sz w:val="22"/>
              </w:rPr>
              <w:t>0</w:t>
            </w:r>
          </w:p>
        </w:tc>
        <w:tc>
          <w:tcPr>
            <w:tcW w:w="525" w:type="pct"/>
            <w:tcBorders>
              <w:top w:val="nil"/>
              <w:left w:val="nil"/>
              <w:bottom w:val="single" w:sz="4" w:space="0" w:color="auto"/>
              <w:right w:val="single" w:sz="4" w:space="0" w:color="auto"/>
            </w:tcBorders>
            <w:shd w:val="clear" w:color="000000" w:fill="EBF1DE"/>
            <w:noWrap/>
            <w:vAlign w:val="center"/>
            <w:hideMark/>
          </w:tcPr>
          <w:p w:rsidR="004D746C" w:rsidRDefault="004D746C">
            <w:pPr>
              <w:jc w:val="center"/>
              <w:rPr>
                <w:rFonts w:ascii="宋体" w:eastAsia="宋体" w:hAnsi="宋体" w:cs="宋体"/>
                <w:color w:val="000000"/>
                <w:sz w:val="22"/>
              </w:rPr>
            </w:pPr>
            <w:r>
              <w:rPr>
                <w:rFonts w:hint="eastAsia"/>
                <w:color w:val="000000"/>
                <w:sz w:val="22"/>
              </w:rPr>
              <w:t>0.00%</w:t>
            </w:r>
          </w:p>
        </w:tc>
      </w:tr>
    </w:tbl>
    <w:p w:rsidR="006769DC" w:rsidRPr="00410D09" w:rsidRDefault="006769DC" w:rsidP="006769DC">
      <w:pPr>
        <w:jc w:val="left"/>
        <w:rPr>
          <w:rFonts w:ascii="黑体" w:eastAsia="黑体" w:hAnsi="黑体"/>
          <w:b/>
          <w:sz w:val="28"/>
          <w:szCs w:val="28"/>
        </w:rPr>
      </w:pPr>
      <w:r>
        <w:rPr>
          <w:rFonts w:ascii="黑体" w:eastAsia="黑体" w:hAnsi="黑体" w:hint="eastAsia"/>
          <w:b/>
          <w:sz w:val="28"/>
          <w:szCs w:val="28"/>
        </w:rPr>
        <w:t>四</w:t>
      </w:r>
      <w:r w:rsidRPr="00410D09">
        <w:rPr>
          <w:rFonts w:ascii="黑体" w:eastAsia="黑体" w:hAnsi="黑体" w:hint="eastAsia"/>
          <w:b/>
          <w:sz w:val="28"/>
          <w:szCs w:val="28"/>
        </w:rPr>
        <w:t>、</w:t>
      </w:r>
      <w:r>
        <w:rPr>
          <w:rFonts w:ascii="黑体" w:eastAsia="黑体" w:hAnsi="黑体" w:hint="eastAsia"/>
          <w:b/>
          <w:sz w:val="28"/>
          <w:szCs w:val="28"/>
        </w:rPr>
        <w:t>后市展望</w:t>
      </w:r>
    </w:p>
    <w:p w:rsidR="007E4417" w:rsidRDefault="0060065F" w:rsidP="0086328F">
      <w:pPr>
        <w:spacing w:line="360" w:lineRule="auto"/>
        <w:ind w:firstLine="480"/>
        <w:jc w:val="left"/>
        <w:rPr>
          <w:rFonts w:ascii="Times New Roman" w:hAnsi="Times New Roman" w:cs="Times New Roman"/>
          <w:color w:val="000000"/>
          <w:sz w:val="24"/>
          <w:szCs w:val="24"/>
          <w:shd w:val="clear" w:color="auto" w:fill="FAFCFF"/>
        </w:rPr>
      </w:pPr>
      <w:r>
        <w:rPr>
          <w:rFonts w:ascii="Times New Roman" w:hAnsi="Times New Roman" w:cs="Times New Roman" w:hint="eastAsia"/>
          <w:color w:val="000000"/>
          <w:sz w:val="24"/>
          <w:szCs w:val="24"/>
          <w:shd w:val="clear" w:color="auto" w:fill="FAFCFF"/>
        </w:rPr>
        <w:t>随着货比政策不断</w:t>
      </w:r>
      <w:r w:rsidR="0086328F">
        <w:rPr>
          <w:rFonts w:ascii="Times New Roman" w:hAnsi="Times New Roman" w:cs="Times New Roman" w:hint="eastAsia"/>
          <w:color w:val="000000"/>
          <w:sz w:val="24"/>
          <w:szCs w:val="24"/>
          <w:shd w:val="clear" w:color="auto" w:fill="FAFCFF"/>
        </w:rPr>
        <w:t>趋于宽松，房地产市场</w:t>
      </w:r>
      <w:r>
        <w:rPr>
          <w:rFonts w:ascii="Times New Roman" w:hAnsi="Times New Roman" w:cs="Times New Roman" w:hint="eastAsia"/>
          <w:color w:val="000000"/>
          <w:sz w:val="24"/>
          <w:szCs w:val="24"/>
          <w:shd w:val="clear" w:color="auto" w:fill="FAFCFF"/>
        </w:rPr>
        <w:t>已经</w:t>
      </w:r>
      <w:r w:rsidR="0086328F">
        <w:rPr>
          <w:rFonts w:ascii="Times New Roman" w:hAnsi="Times New Roman" w:cs="Times New Roman" w:hint="eastAsia"/>
          <w:color w:val="000000"/>
          <w:sz w:val="24"/>
          <w:szCs w:val="24"/>
          <w:shd w:val="clear" w:color="auto" w:fill="FAFCFF"/>
        </w:rPr>
        <w:t>回暖，开发商资金周转状况得到明显好转</w:t>
      </w:r>
      <w:r>
        <w:rPr>
          <w:rFonts w:ascii="Times New Roman" w:hAnsi="Times New Roman" w:cs="Times New Roman" w:hint="eastAsia"/>
          <w:color w:val="000000"/>
          <w:sz w:val="24"/>
          <w:szCs w:val="24"/>
          <w:shd w:val="clear" w:color="auto" w:fill="FAFCFF"/>
        </w:rPr>
        <w:t>。开发商拿地的欲望将会明显增加，预计国土局也会增加供地的信心，四</w:t>
      </w:r>
      <w:r w:rsidR="0086328F">
        <w:rPr>
          <w:rFonts w:ascii="Times New Roman" w:hAnsi="Times New Roman" w:cs="Times New Roman" w:hint="eastAsia"/>
          <w:color w:val="000000"/>
          <w:sz w:val="24"/>
          <w:szCs w:val="24"/>
          <w:shd w:val="clear" w:color="auto" w:fill="FAFCFF"/>
        </w:rPr>
        <w:t>季度土地</w:t>
      </w:r>
      <w:bookmarkStart w:id="0" w:name="_GoBack"/>
      <w:bookmarkEnd w:id="0"/>
      <w:r w:rsidR="0086328F">
        <w:rPr>
          <w:rFonts w:ascii="Times New Roman" w:hAnsi="Times New Roman" w:cs="Times New Roman" w:hint="eastAsia"/>
          <w:color w:val="000000"/>
          <w:sz w:val="24"/>
          <w:szCs w:val="24"/>
          <w:shd w:val="clear" w:color="auto" w:fill="FAFCFF"/>
        </w:rPr>
        <w:t>市场将会得到</w:t>
      </w:r>
      <w:r>
        <w:rPr>
          <w:rFonts w:ascii="Times New Roman" w:hAnsi="Times New Roman" w:cs="Times New Roman" w:hint="eastAsia"/>
          <w:color w:val="000000"/>
          <w:sz w:val="24"/>
          <w:szCs w:val="24"/>
          <w:shd w:val="clear" w:color="auto" w:fill="FAFCFF"/>
        </w:rPr>
        <w:t>进一步</w:t>
      </w:r>
      <w:r w:rsidR="0086328F">
        <w:rPr>
          <w:rFonts w:ascii="Times New Roman" w:hAnsi="Times New Roman" w:cs="Times New Roman" w:hint="eastAsia"/>
          <w:color w:val="000000"/>
          <w:sz w:val="24"/>
          <w:szCs w:val="24"/>
          <w:shd w:val="clear" w:color="auto" w:fill="FAFCFF"/>
        </w:rPr>
        <w:t>释放。</w:t>
      </w:r>
    </w:p>
    <w:p w:rsidR="0086328F" w:rsidRPr="0086328F" w:rsidRDefault="0086328F" w:rsidP="0086328F">
      <w:pPr>
        <w:spacing w:line="360" w:lineRule="auto"/>
        <w:ind w:firstLine="480"/>
        <w:jc w:val="left"/>
        <w:rPr>
          <w:rFonts w:ascii="Times New Roman" w:hAnsi="Times New Roman" w:cs="Times New Roman"/>
          <w:color w:val="000000"/>
          <w:sz w:val="24"/>
          <w:szCs w:val="24"/>
          <w:shd w:val="clear" w:color="auto" w:fill="FAFCFF"/>
        </w:rPr>
      </w:pPr>
      <w:r>
        <w:rPr>
          <w:rFonts w:ascii="Times New Roman" w:hAnsi="Times New Roman" w:cs="Times New Roman" w:hint="eastAsia"/>
          <w:color w:val="000000"/>
          <w:sz w:val="24"/>
          <w:szCs w:val="24"/>
          <w:shd w:val="clear" w:color="auto" w:fill="FAFCFF"/>
        </w:rPr>
        <w:t>从区域来看，第一方阵城市土地市场竞争力将继续增加，尤其是南京市和苏州市。无锡市虽然库存大量积压，但落户政策、货币政策等更为轻松，对库存的去化有积极的作用，</w:t>
      </w:r>
      <w:r w:rsidR="0060065F">
        <w:rPr>
          <w:rFonts w:ascii="Times New Roman" w:hAnsi="Times New Roman" w:cs="Times New Roman" w:hint="eastAsia"/>
          <w:color w:val="000000"/>
          <w:sz w:val="24"/>
          <w:szCs w:val="24"/>
          <w:shd w:val="clear" w:color="auto" w:fill="FAFCFF"/>
        </w:rPr>
        <w:t>预计四</w:t>
      </w:r>
      <w:r w:rsidR="0027175D">
        <w:rPr>
          <w:rFonts w:ascii="Times New Roman" w:hAnsi="Times New Roman" w:cs="Times New Roman" w:hint="eastAsia"/>
          <w:color w:val="000000"/>
          <w:sz w:val="24"/>
          <w:szCs w:val="24"/>
          <w:shd w:val="clear" w:color="auto" w:fill="FAFCFF"/>
        </w:rPr>
        <w:t>季度政府推地节奏将明显加快。第二方阵城市房地产市场回暖</w:t>
      </w:r>
      <w:proofErr w:type="gramStart"/>
      <w:r w:rsidR="0027175D">
        <w:rPr>
          <w:rFonts w:ascii="Times New Roman" w:hAnsi="Times New Roman" w:cs="Times New Roman" w:hint="eastAsia"/>
          <w:color w:val="000000"/>
          <w:sz w:val="24"/>
          <w:szCs w:val="24"/>
          <w:shd w:val="clear" w:color="auto" w:fill="FAFCFF"/>
        </w:rPr>
        <w:t>不</w:t>
      </w:r>
      <w:proofErr w:type="gramEnd"/>
      <w:r w:rsidR="0027175D">
        <w:rPr>
          <w:rFonts w:ascii="Times New Roman" w:hAnsi="Times New Roman" w:cs="Times New Roman" w:hint="eastAsia"/>
          <w:color w:val="000000"/>
          <w:sz w:val="24"/>
          <w:szCs w:val="24"/>
          <w:shd w:val="clear" w:color="auto" w:fill="FAFCFF"/>
        </w:rPr>
        <w:t>及第</w:t>
      </w:r>
      <w:proofErr w:type="gramStart"/>
      <w:r w:rsidR="0027175D">
        <w:rPr>
          <w:rFonts w:ascii="Times New Roman" w:hAnsi="Times New Roman" w:cs="Times New Roman" w:hint="eastAsia"/>
          <w:color w:val="000000"/>
          <w:sz w:val="24"/>
          <w:szCs w:val="24"/>
          <w:shd w:val="clear" w:color="auto" w:fill="FAFCFF"/>
        </w:rPr>
        <w:t>一</w:t>
      </w:r>
      <w:proofErr w:type="gramEnd"/>
      <w:r w:rsidR="0027175D">
        <w:rPr>
          <w:rFonts w:ascii="Times New Roman" w:hAnsi="Times New Roman" w:cs="Times New Roman" w:hint="eastAsia"/>
          <w:color w:val="000000"/>
          <w:sz w:val="24"/>
          <w:szCs w:val="24"/>
          <w:shd w:val="clear" w:color="auto" w:fill="FAFCFF"/>
        </w:rPr>
        <w:t>方阵城市，</w:t>
      </w:r>
      <w:r w:rsidR="0060065F">
        <w:rPr>
          <w:rFonts w:ascii="Times New Roman" w:hAnsi="Times New Roman" w:cs="Times New Roman" w:hint="eastAsia"/>
          <w:color w:val="000000"/>
          <w:sz w:val="24"/>
          <w:szCs w:val="24"/>
          <w:shd w:val="clear" w:color="auto" w:fill="FAFCFF"/>
        </w:rPr>
        <w:t>四</w:t>
      </w:r>
      <w:r w:rsidR="0027175D">
        <w:rPr>
          <w:rFonts w:ascii="Times New Roman" w:hAnsi="Times New Roman" w:cs="Times New Roman" w:hint="eastAsia"/>
          <w:color w:val="000000"/>
          <w:sz w:val="24"/>
          <w:szCs w:val="24"/>
          <w:shd w:val="clear" w:color="auto" w:fill="FAFCFF"/>
        </w:rPr>
        <w:t>季度土地市场</w:t>
      </w:r>
      <w:r w:rsidR="0060065F">
        <w:rPr>
          <w:rFonts w:ascii="Times New Roman" w:hAnsi="Times New Roman" w:cs="Times New Roman" w:hint="eastAsia"/>
          <w:color w:val="000000"/>
          <w:sz w:val="24"/>
          <w:szCs w:val="24"/>
          <w:shd w:val="clear" w:color="auto" w:fill="FAFCFF"/>
        </w:rPr>
        <w:t>预计</w:t>
      </w:r>
      <w:r w:rsidR="0027175D">
        <w:rPr>
          <w:rFonts w:ascii="Times New Roman" w:hAnsi="Times New Roman" w:cs="Times New Roman" w:hint="eastAsia"/>
          <w:color w:val="000000"/>
          <w:sz w:val="24"/>
          <w:szCs w:val="24"/>
          <w:shd w:val="clear" w:color="auto" w:fill="FAFCFF"/>
        </w:rPr>
        <w:t>会有一定的好转，但回暖程度</w:t>
      </w:r>
      <w:proofErr w:type="gramStart"/>
      <w:r w:rsidR="0027175D">
        <w:rPr>
          <w:rFonts w:ascii="Times New Roman" w:hAnsi="Times New Roman" w:cs="Times New Roman" w:hint="eastAsia"/>
          <w:color w:val="000000"/>
          <w:sz w:val="24"/>
          <w:szCs w:val="24"/>
          <w:shd w:val="clear" w:color="auto" w:fill="FAFCFF"/>
        </w:rPr>
        <w:t>不</w:t>
      </w:r>
      <w:proofErr w:type="gramEnd"/>
      <w:r w:rsidR="0027175D">
        <w:rPr>
          <w:rFonts w:ascii="Times New Roman" w:hAnsi="Times New Roman" w:cs="Times New Roman" w:hint="eastAsia"/>
          <w:color w:val="000000"/>
          <w:sz w:val="24"/>
          <w:szCs w:val="24"/>
          <w:shd w:val="clear" w:color="auto" w:fill="FAFCFF"/>
        </w:rPr>
        <w:t>及第</w:t>
      </w:r>
      <w:proofErr w:type="gramStart"/>
      <w:r w:rsidR="0027175D">
        <w:rPr>
          <w:rFonts w:ascii="Times New Roman" w:hAnsi="Times New Roman" w:cs="Times New Roman" w:hint="eastAsia"/>
          <w:color w:val="000000"/>
          <w:sz w:val="24"/>
          <w:szCs w:val="24"/>
          <w:shd w:val="clear" w:color="auto" w:fill="FAFCFF"/>
        </w:rPr>
        <w:t>一</w:t>
      </w:r>
      <w:proofErr w:type="gramEnd"/>
      <w:r w:rsidR="0027175D">
        <w:rPr>
          <w:rFonts w:ascii="Times New Roman" w:hAnsi="Times New Roman" w:cs="Times New Roman" w:hint="eastAsia"/>
          <w:color w:val="000000"/>
          <w:sz w:val="24"/>
          <w:szCs w:val="24"/>
          <w:shd w:val="clear" w:color="auto" w:fill="FAFCFF"/>
        </w:rPr>
        <w:t>方阵城市。</w:t>
      </w:r>
    </w:p>
    <w:p w:rsidR="008F29DD" w:rsidRPr="008F29DD" w:rsidRDefault="008F29DD" w:rsidP="008F29DD">
      <w:pPr>
        <w:spacing w:line="360" w:lineRule="auto"/>
        <w:rPr>
          <w:b/>
          <w:sz w:val="24"/>
          <w:szCs w:val="24"/>
        </w:rPr>
      </w:pPr>
    </w:p>
    <w:sectPr w:rsidR="008F29DD" w:rsidRPr="008F29DD" w:rsidSect="0069415B">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106" w:rsidRDefault="001F6106" w:rsidP="00AC6E36">
      <w:r>
        <w:separator/>
      </w:r>
    </w:p>
  </w:endnote>
  <w:endnote w:type="continuationSeparator" w:id="0">
    <w:p w:rsidR="001F6106" w:rsidRDefault="001F6106" w:rsidP="00AC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106" w:rsidRDefault="001F6106" w:rsidP="00AC6E36">
      <w:r>
        <w:separator/>
      </w:r>
    </w:p>
  </w:footnote>
  <w:footnote w:type="continuationSeparator" w:id="0">
    <w:p w:rsidR="001F6106" w:rsidRDefault="001F6106" w:rsidP="00AC6E36">
      <w:r>
        <w:continuationSeparator/>
      </w:r>
    </w:p>
  </w:footnote>
  <w:footnote w:id="1">
    <w:p w:rsidR="00304658" w:rsidRDefault="00304658" w:rsidP="00AC6E36">
      <w:pPr>
        <w:pStyle w:val="a4"/>
      </w:pPr>
      <w:r>
        <w:rPr>
          <w:rStyle w:val="a5"/>
        </w:rPr>
        <w:footnoteRef/>
      </w:r>
      <w:r>
        <w:t xml:space="preserve"> </w:t>
      </w:r>
      <w:r>
        <w:rPr>
          <w:rFonts w:hint="eastAsia"/>
        </w:rPr>
        <w:t>本文苏南五市的土地市场和房地产市场主要指五市的市区范围，其中南京市区不包括新改区的高淳和溧水；苏州市区包括姑苏区、吴中区、相城区、工业园区（吴江区未纳入统计范围），无锡市区包括崇安区、南长区、北塘区、新区、滨湖区、锡山区、惠山区，常州市区包括钟楼区、天宁区、戚墅堰区、新北区、武进区；镇江市区包括京口区、润州区、丹徒区和新区。</w:t>
      </w:r>
    </w:p>
  </w:footnote>
  <w:footnote w:id="2">
    <w:p w:rsidR="007C72AE" w:rsidRDefault="007C72AE" w:rsidP="007C72AE">
      <w:pPr>
        <w:pStyle w:val="a4"/>
      </w:pPr>
      <w:r>
        <w:rPr>
          <w:rStyle w:val="a5"/>
        </w:rPr>
        <w:footnoteRef/>
      </w:r>
      <w:r>
        <w:t xml:space="preserve"> </w:t>
      </w:r>
      <w:r>
        <w:rPr>
          <w:rFonts w:hint="eastAsia"/>
        </w:rPr>
        <w:t>本报告</w:t>
      </w:r>
      <w:proofErr w:type="gramStart"/>
      <w:r>
        <w:rPr>
          <w:rFonts w:hint="eastAsia"/>
        </w:rPr>
        <w:t>标杆房企包括</w:t>
      </w:r>
      <w:proofErr w:type="gramEnd"/>
      <w:r>
        <w:rPr>
          <w:rFonts w:hint="eastAsia"/>
        </w:rPr>
        <w:t>万科、绿地、保利、恒大、万达、中海、碧</w:t>
      </w:r>
      <w:proofErr w:type="gramStart"/>
      <w:r>
        <w:rPr>
          <w:rFonts w:hint="eastAsia"/>
        </w:rPr>
        <w:t>桂园</w:t>
      </w:r>
      <w:proofErr w:type="gramEnd"/>
      <w:r>
        <w:rPr>
          <w:rFonts w:hint="eastAsia"/>
        </w:rPr>
        <w:t>、</w:t>
      </w:r>
      <w:proofErr w:type="gramStart"/>
      <w:r>
        <w:rPr>
          <w:rFonts w:hint="eastAsia"/>
        </w:rPr>
        <w:t>世</w:t>
      </w:r>
      <w:proofErr w:type="gramEnd"/>
      <w:r>
        <w:rPr>
          <w:rFonts w:hint="eastAsia"/>
        </w:rPr>
        <w:t>茂、华润、绿城。</w:t>
      </w:r>
    </w:p>
  </w:footnote>
  <w:footnote w:id="3">
    <w:p w:rsidR="007C72AE" w:rsidRDefault="007C72AE" w:rsidP="007C72AE">
      <w:pPr>
        <w:pStyle w:val="a4"/>
      </w:pPr>
      <w:r>
        <w:rPr>
          <w:rStyle w:val="a5"/>
        </w:rPr>
        <w:footnoteRef/>
      </w:r>
      <w:r>
        <w:t xml:space="preserve"> </w:t>
      </w:r>
      <w:r>
        <w:rPr>
          <w:rFonts w:hint="eastAsia"/>
        </w:rPr>
        <w:t>本报告其他开发商指除本地开发商、</w:t>
      </w:r>
      <w:proofErr w:type="gramStart"/>
      <w:r>
        <w:rPr>
          <w:rFonts w:hint="eastAsia"/>
        </w:rPr>
        <w:t>标杆房企</w:t>
      </w:r>
      <w:proofErr w:type="gramEnd"/>
      <w:r>
        <w:rPr>
          <w:rFonts w:hint="eastAsia"/>
        </w:rPr>
        <w:t>以外的，包括个人、外资企业、国有企业、民营企业等。</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58" w:rsidRPr="00331F59" w:rsidRDefault="00304658" w:rsidP="006C2A2F">
    <w:pPr>
      <w:pStyle w:val="a7"/>
      <w:jc w:val="both"/>
      <w:rPr>
        <w:rFonts w:ascii="黑体" w:eastAsia="黑体" w:hAnsi="黑体"/>
        <w:b/>
        <w:sz w:val="24"/>
        <w:szCs w:val="24"/>
      </w:rPr>
    </w:pPr>
    <w:r w:rsidRPr="00331F59">
      <w:rPr>
        <w:rFonts w:ascii="黑体" w:eastAsia="黑体" w:hAnsi="黑体" w:hint="eastAsia"/>
        <w:b/>
        <w:noProof/>
        <w:sz w:val="24"/>
        <w:szCs w:val="24"/>
      </w:rPr>
      <w:drawing>
        <wp:anchor distT="0" distB="0" distL="114300" distR="114300" simplePos="0" relativeHeight="251659264" behindDoc="0" locked="0" layoutInCell="1" allowOverlap="1" wp14:anchorId="7C2CFB74" wp14:editId="64B78F78">
          <wp:simplePos x="0" y="0"/>
          <wp:positionH relativeFrom="column">
            <wp:posOffset>4181475</wp:posOffset>
          </wp:positionH>
          <wp:positionV relativeFrom="paragraph">
            <wp:posOffset>-104775</wp:posOffset>
          </wp:positionV>
          <wp:extent cx="1123950" cy="297846"/>
          <wp:effectExtent l="0" t="0" r="0" b="0"/>
          <wp:wrapNone/>
          <wp:docPr id="5" name="图片 1" descr="C:\Users\Administrator\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29784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黑体" w:eastAsia="黑体" w:hAnsi="黑体" w:hint="eastAsia"/>
        <w:b/>
        <w:sz w:val="24"/>
        <w:szCs w:val="24"/>
      </w:rPr>
      <w:t>土地</w:t>
    </w:r>
    <w:r w:rsidRPr="00331F59">
      <w:rPr>
        <w:rFonts w:ascii="黑体" w:eastAsia="黑体" w:hAnsi="黑体" w:hint="eastAsia"/>
        <w:b/>
        <w:sz w:val="24"/>
        <w:szCs w:val="24"/>
      </w:rPr>
      <w:t xml:space="preserve">篇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550B3"/>
    <w:multiLevelType w:val="hybridMultilevel"/>
    <w:tmpl w:val="521C7EE2"/>
    <w:lvl w:ilvl="0" w:tplc="C352A21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0FAC"/>
    <w:rsid w:val="00000FE7"/>
    <w:rsid w:val="00004B7A"/>
    <w:rsid w:val="000274CC"/>
    <w:rsid w:val="00041A5A"/>
    <w:rsid w:val="00070FAC"/>
    <w:rsid w:val="00073315"/>
    <w:rsid w:val="00084915"/>
    <w:rsid w:val="00086234"/>
    <w:rsid w:val="00086F74"/>
    <w:rsid w:val="00087843"/>
    <w:rsid w:val="00091923"/>
    <w:rsid w:val="000D0979"/>
    <w:rsid w:val="000D12CC"/>
    <w:rsid w:val="000F1B60"/>
    <w:rsid w:val="000F3527"/>
    <w:rsid w:val="00106039"/>
    <w:rsid w:val="00115B9A"/>
    <w:rsid w:val="00120680"/>
    <w:rsid w:val="00132016"/>
    <w:rsid w:val="00151D47"/>
    <w:rsid w:val="0016265F"/>
    <w:rsid w:val="0017492C"/>
    <w:rsid w:val="001859FA"/>
    <w:rsid w:val="00191011"/>
    <w:rsid w:val="001A14A9"/>
    <w:rsid w:val="001A39EA"/>
    <w:rsid w:val="001A746C"/>
    <w:rsid w:val="001D1EAA"/>
    <w:rsid w:val="001D478C"/>
    <w:rsid w:val="001F6106"/>
    <w:rsid w:val="00225C00"/>
    <w:rsid w:val="00225C2F"/>
    <w:rsid w:val="00226B22"/>
    <w:rsid w:val="0023746E"/>
    <w:rsid w:val="002638A9"/>
    <w:rsid w:val="0027175D"/>
    <w:rsid w:val="0027391B"/>
    <w:rsid w:val="00276B09"/>
    <w:rsid w:val="00285D0D"/>
    <w:rsid w:val="002860B4"/>
    <w:rsid w:val="00295817"/>
    <w:rsid w:val="002A332F"/>
    <w:rsid w:val="002B1195"/>
    <w:rsid w:val="002D0A55"/>
    <w:rsid w:val="002E1686"/>
    <w:rsid w:val="002E3F3B"/>
    <w:rsid w:val="00302713"/>
    <w:rsid w:val="00304658"/>
    <w:rsid w:val="00312C38"/>
    <w:rsid w:val="00312FC8"/>
    <w:rsid w:val="003147D3"/>
    <w:rsid w:val="00335A58"/>
    <w:rsid w:val="0033727E"/>
    <w:rsid w:val="00341A37"/>
    <w:rsid w:val="00351A13"/>
    <w:rsid w:val="00357974"/>
    <w:rsid w:val="003A07D5"/>
    <w:rsid w:val="003A5913"/>
    <w:rsid w:val="003A67F1"/>
    <w:rsid w:val="003A77E3"/>
    <w:rsid w:val="003B677C"/>
    <w:rsid w:val="003D391E"/>
    <w:rsid w:val="003E3D42"/>
    <w:rsid w:val="003E7815"/>
    <w:rsid w:val="003F68E3"/>
    <w:rsid w:val="00410D09"/>
    <w:rsid w:val="004126D6"/>
    <w:rsid w:val="00415DF1"/>
    <w:rsid w:val="00416368"/>
    <w:rsid w:val="004550CA"/>
    <w:rsid w:val="00462E71"/>
    <w:rsid w:val="00477CD0"/>
    <w:rsid w:val="00491DB5"/>
    <w:rsid w:val="004B349A"/>
    <w:rsid w:val="004B493B"/>
    <w:rsid w:val="004B6DB1"/>
    <w:rsid w:val="004B6E76"/>
    <w:rsid w:val="004B7106"/>
    <w:rsid w:val="004C6F46"/>
    <w:rsid w:val="004D4060"/>
    <w:rsid w:val="004D6233"/>
    <w:rsid w:val="004D746C"/>
    <w:rsid w:val="004E67B0"/>
    <w:rsid w:val="005135EF"/>
    <w:rsid w:val="00525E3C"/>
    <w:rsid w:val="00537213"/>
    <w:rsid w:val="005756A9"/>
    <w:rsid w:val="00586270"/>
    <w:rsid w:val="00591388"/>
    <w:rsid w:val="005A716C"/>
    <w:rsid w:val="005C447A"/>
    <w:rsid w:val="005E0319"/>
    <w:rsid w:val="005E79A1"/>
    <w:rsid w:val="0060065F"/>
    <w:rsid w:val="006102E5"/>
    <w:rsid w:val="006142F0"/>
    <w:rsid w:val="00643027"/>
    <w:rsid w:val="00650FC9"/>
    <w:rsid w:val="0065685B"/>
    <w:rsid w:val="00664BCB"/>
    <w:rsid w:val="006769DC"/>
    <w:rsid w:val="0069415B"/>
    <w:rsid w:val="00695A7A"/>
    <w:rsid w:val="006A05CF"/>
    <w:rsid w:val="006C2A2F"/>
    <w:rsid w:val="006D5EE3"/>
    <w:rsid w:val="006E2B60"/>
    <w:rsid w:val="00707450"/>
    <w:rsid w:val="00716122"/>
    <w:rsid w:val="00734B08"/>
    <w:rsid w:val="00736BC4"/>
    <w:rsid w:val="00762658"/>
    <w:rsid w:val="0077238F"/>
    <w:rsid w:val="007C5492"/>
    <w:rsid w:val="007C72AE"/>
    <w:rsid w:val="007E0D5E"/>
    <w:rsid w:val="007E131C"/>
    <w:rsid w:val="007E4417"/>
    <w:rsid w:val="007E5DD5"/>
    <w:rsid w:val="0081343B"/>
    <w:rsid w:val="00825C0F"/>
    <w:rsid w:val="00836B60"/>
    <w:rsid w:val="00837F56"/>
    <w:rsid w:val="0084067C"/>
    <w:rsid w:val="008474D5"/>
    <w:rsid w:val="0086328F"/>
    <w:rsid w:val="00885951"/>
    <w:rsid w:val="008973B6"/>
    <w:rsid w:val="008A49B1"/>
    <w:rsid w:val="008A53EE"/>
    <w:rsid w:val="008D0C3B"/>
    <w:rsid w:val="008E21F6"/>
    <w:rsid w:val="008F22EB"/>
    <w:rsid w:val="008F29DD"/>
    <w:rsid w:val="008F48C6"/>
    <w:rsid w:val="009013F8"/>
    <w:rsid w:val="00902529"/>
    <w:rsid w:val="00903BAC"/>
    <w:rsid w:val="0090606C"/>
    <w:rsid w:val="00913E64"/>
    <w:rsid w:val="00917ACA"/>
    <w:rsid w:val="00922301"/>
    <w:rsid w:val="009242FE"/>
    <w:rsid w:val="00934573"/>
    <w:rsid w:val="00985A17"/>
    <w:rsid w:val="00996567"/>
    <w:rsid w:val="009A3CDE"/>
    <w:rsid w:val="009B2AEC"/>
    <w:rsid w:val="009B2D9C"/>
    <w:rsid w:val="009C1B96"/>
    <w:rsid w:val="009D0590"/>
    <w:rsid w:val="00A01882"/>
    <w:rsid w:val="00A27C47"/>
    <w:rsid w:val="00A33A81"/>
    <w:rsid w:val="00A41718"/>
    <w:rsid w:val="00A4280B"/>
    <w:rsid w:val="00A478FF"/>
    <w:rsid w:val="00A52FA6"/>
    <w:rsid w:val="00A66611"/>
    <w:rsid w:val="00A764B2"/>
    <w:rsid w:val="00A834C9"/>
    <w:rsid w:val="00A8388F"/>
    <w:rsid w:val="00AA02B7"/>
    <w:rsid w:val="00AA56F3"/>
    <w:rsid w:val="00AC2328"/>
    <w:rsid w:val="00AC6E36"/>
    <w:rsid w:val="00B01E99"/>
    <w:rsid w:val="00B03B4A"/>
    <w:rsid w:val="00B0440B"/>
    <w:rsid w:val="00B11724"/>
    <w:rsid w:val="00B32AE2"/>
    <w:rsid w:val="00B40684"/>
    <w:rsid w:val="00B434EE"/>
    <w:rsid w:val="00B46CAF"/>
    <w:rsid w:val="00B71F64"/>
    <w:rsid w:val="00B92398"/>
    <w:rsid w:val="00BB5C56"/>
    <w:rsid w:val="00BB7CAC"/>
    <w:rsid w:val="00BE0A81"/>
    <w:rsid w:val="00BE2318"/>
    <w:rsid w:val="00BF26EE"/>
    <w:rsid w:val="00BF46C0"/>
    <w:rsid w:val="00C03D60"/>
    <w:rsid w:val="00C05ED8"/>
    <w:rsid w:val="00C141D8"/>
    <w:rsid w:val="00C45E9A"/>
    <w:rsid w:val="00C560BE"/>
    <w:rsid w:val="00C775C2"/>
    <w:rsid w:val="00C8083C"/>
    <w:rsid w:val="00C82B0A"/>
    <w:rsid w:val="00CB36FC"/>
    <w:rsid w:val="00CC4C68"/>
    <w:rsid w:val="00CE1ACD"/>
    <w:rsid w:val="00CE49E1"/>
    <w:rsid w:val="00CE675E"/>
    <w:rsid w:val="00CF4E0F"/>
    <w:rsid w:val="00D2286B"/>
    <w:rsid w:val="00D4480C"/>
    <w:rsid w:val="00D6437B"/>
    <w:rsid w:val="00D65BDE"/>
    <w:rsid w:val="00D75B2A"/>
    <w:rsid w:val="00DB1502"/>
    <w:rsid w:val="00DB29BF"/>
    <w:rsid w:val="00DC12C4"/>
    <w:rsid w:val="00E25624"/>
    <w:rsid w:val="00E30634"/>
    <w:rsid w:val="00E33E7A"/>
    <w:rsid w:val="00E3674A"/>
    <w:rsid w:val="00E42EB1"/>
    <w:rsid w:val="00E64BF5"/>
    <w:rsid w:val="00E73A91"/>
    <w:rsid w:val="00EA055E"/>
    <w:rsid w:val="00EA0A42"/>
    <w:rsid w:val="00EB4B97"/>
    <w:rsid w:val="00EC11D5"/>
    <w:rsid w:val="00ED2481"/>
    <w:rsid w:val="00F2098B"/>
    <w:rsid w:val="00F23E13"/>
    <w:rsid w:val="00F27E84"/>
    <w:rsid w:val="00F45C04"/>
    <w:rsid w:val="00F705A7"/>
    <w:rsid w:val="00F716D6"/>
    <w:rsid w:val="00F829F5"/>
    <w:rsid w:val="00F9594F"/>
    <w:rsid w:val="00FA1E2B"/>
    <w:rsid w:val="00FB04CF"/>
    <w:rsid w:val="00FB2E73"/>
    <w:rsid w:val="00FC0BB4"/>
    <w:rsid w:val="00FC1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1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D09"/>
    <w:pPr>
      <w:ind w:firstLineChars="200" w:firstLine="420"/>
    </w:pPr>
  </w:style>
  <w:style w:type="paragraph" w:styleId="a4">
    <w:name w:val="footnote text"/>
    <w:basedOn w:val="a"/>
    <w:link w:val="Char"/>
    <w:semiHidden/>
    <w:rsid w:val="00AC6E36"/>
    <w:pPr>
      <w:snapToGrid w:val="0"/>
      <w:jc w:val="left"/>
    </w:pPr>
    <w:rPr>
      <w:rFonts w:ascii="Times New Roman" w:eastAsia="宋体" w:hAnsi="Times New Roman" w:cs="Times New Roman"/>
      <w:sz w:val="18"/>
      <w:szCs w:val="18"/>
    </w:rPr>
  </w:style>
  <w:style w:type="character" w:customStyle="1" w:styleId="Char">
    <w:name w:val="脚注文本 Char"/>
    <w:basedOn w:val="a0"/>
    <w:link w:val="a4"/>
    <w:semiHidden/>
    <w:rsid w:val="00AC6E36"/>
    <w:rPr>
      <w:rFonts w:ascii="Times New Roman" w:eastAsia="宋体" w:hAnsi="Times New Roman" w:cs="Times New Roman"/>
      <w:sz w:val="18"/>
      <w:szCs w:val="18"/>
    </w:rPr>
  </w:style>
  <w:style w:type="character" w:styleId="a5">
    <w:name w:val="footnote reference"/>
    <w:semiHidden/>
    <w:rsid w:val="00AC6E36"/>
    <w:rPr>
      <w:vertAlign w:val="superscript"/>
    </w:rPr>
  </w:style>
  <w:style w:type="paragraph" w:styleId="a6">
    <w:name w:val="Balloon Text"/>
    <w:basedOn w:val="a"/>
    <w:link w:val="Char0"/>
    <w:uiPriority w:val="99"/>
    <w:semiHidden/>
    <w:unhideWhenUsed/>
    <w:rsid w:val="00CC4C68"/>
    <w:rPr>
      <w:sz w:val="18"/>
      <w:szCs w:val="18"/>
    </w:rPr>
  </w:style>
  <w:style w:type="character" w:customStyle="1" w:styleId="Char0">
    <w:name w:val="批注框文本 Char"/>
    <w:basedOn w:val="a0"/>
    <w:link w:val="a6"/>
    <w:uiPriority w:val="99"/>
    <w:semiHidden/>
    <w:rsid w:val="00CC4C68"/>
    <w:rPr>
      <w:sz w:val="18"/>
      <w:szCs w:val="18"/>
    </w:rPr>
  </w:style>
  <w:style w:type="paragraph" w:styleId="a7">
    <w:name w:val="header"/>
    <w:basedOn w:val="a"/>
    <w:link w:val="Char1"/>
    <w:uiPriority w:val="99"/>
    <w:unhideWhenUsed/>
    <w:rsid w:val="00CF4E0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CF4E0F"/>
    <w:rPr>
      <w:sz w:val="18"/>
      <w:szCs w:val="18"/>
    </w:rPr>
  </w:style>
  <w:style w:type="paragraph" w:styleId="a8">
    <w:name w:val="footer"/>
    <w:basedOn w:val="a"/>
    <w:link w:val="Char2"/>
    <w:uiPriority w:val="99"/>
    <w:unhideWhenUsed/>
    <w:rsid w:val="00CF4E0F"/>
    <w:pPr>
      <w:tabs>
        <w:tab w:val="center" w:pos="4153"/>
        <w:tab w:val="right" w:pos="8306"/>
      </w:tabs>
      <w:snapToGrid w:val="0"/>
      <w:jc w:val="left"/>
    </w:pPr>
    <w:rPr>
      <w:sz w:val="18"/>
      <w:szCs w:val="18"/>
    </w:rPr>
  </w:style>
  <w:style w:type="character" w:customStyle="1" w:styleId="Char2">
    <w:name w:val="页脚 Char"/>
    <w:basedOn w:val="a0"/>
    <w:link w:val="a8"/>
    <w:uiPriority w:val="99"/>
    <w:rsid w:val="00CF4E0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D09"/>
    <w:pPr>
      <w:ind w:firstLineChars="200" w:firstLine="420"/>
    </w:pPr>
  </w:style>
  <w:style w:type="paragraph" w:styleId="a4">
    <w:name w:val="footnote text"/>
    <w:basedOn w:val="a"/>
    <w:link w:val="Char"/>
    <w:semiHidden/>
    <w:rsid w:val="00AC6E36"/>
    <w:pPr>
      <w:snapToGrid w:val="0"/>
      <w:jc w:val="left"/>
    </w:pPr>
    <w:rPr>
      <w:rFonts w:ascii="Times New Roman" w:eastAsia="宋体" w:hAnsi="Times New Roman" w:cs="Times New Roman"/>
      <w:sz w:val="18"/>
      <w:szCs w:val="18"/>
    </w:rPr>
  </w:style>
  <w:style w:type="character" w:customStyle="1" w:styleId="Char">
    <w:name w:val="脚注文本 Char"/>
    <w:basedOn w:val="a0"/>
    <w:link w:val="a4"/>
    <w:semiHidden/>
    <w:rsid w:val="00AC6E36"/>
    <w:rPr>
      <w:rFonts w:ascii="Times New Roman" w:eastAsia="宋体" w:hAnsi="Times New Roman" w:cs="Times New Roman"/>
      <w:sz w:val="18"/>
      <w:szCs w:val="18"/>
    </w:rPr>
  </w:style>
  <w:style w:type="character" w:styleId="a5">
    <w:name w:val="footnote reference"/>
    <w:semiHidden/>
    <w:rsid w:val="00AC6E36"/>
    <w:rPr>
      <w:vertAlign w:val="superscript"/>
    </w:rPr>
  </w:style>
  <w:style w:type="paragraph" w:styleId="a6">
    <w:name w:val="Balloon Text"/>
    <w:basedOn w:val="a"/>
    <w:link w:val="Char0"/>
    <w:uiPriority w:val="99"/>
    <w:semiHidden/>
    <w:unhideWhenUsed/>
    <w:rsid w:val="00CC4C68"/>
    <w:rPr>
      <w:sz w:val="18"/>
      <w:szCs w:val="18"/>
    </w:rPr>
  </w:style>
  <w:style w:type="character" w:customStyle="1" w:styleId="Char0">
    <w:name w:val="批注框文本 Char"/>
    <w:basedOn w:val="a0"/>
    <w:link w:val="a6"/>
    <w:uiPriority w:val="99"/>
    <w:semiHidden/>
    <w:rsid w:val="00CC4C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17527">
      <w:bodyDiv w:val="1"/>
      <w:marLeft w:val="0"/>
      <w:marRight w:val="0"/>
      <w:marTop w:val="0"/>
      <w:marBottom w:val="0"/>
      <w:divBdr>
        <w:top w:val="none" w:sz="0" w:space="0" w:color="auto"/>
        <w:left w:val="none" w:sz="0" w:space="0" w:color="auto"/>
        <w:bottom w:val="none" w:sz="0" w:space="0" w:color="auto"/>
        <w:right w:val="none" w:sz="0" w:space="0" w:color="auto"/>
      </w:divBdr>
    </w:div>
    <w:div w:id="631715286">
      <w:bodyDiv w:val="1"/>
      <w:marLeft w:val="0"/>
      <w:marRight w:val="0"/>
      <w:marTop w:val="0"/>
      <w:marBottom w:val="0"/>
      <w:divBdr>
        <w:top w:val="none" w:sz="0" w:space="0" w:color="auto"/>
        <w:left w:val="none" w:sz="0" w:space="0" w:color="auto"/>
        <w:bottom w:val="none" w:sz="0" w:space="0" w:color="auto"/>
        <w:right w:val="none" w:sz="0" w:space="0" w:color="auto"/>
      </w:divBdr>
    </w:div>
    <w:div w:id="728041259">
      <w:bodyDiv w:val="1"/>
      <w:marLeft w:val="0"/>
      <w:marRight w:val="0"/>
      <w:marTop w:val="0"/>
      <w:marBottom w:val="0"/>
      <w:divBdr>
        <w:top w:val="none" w:sz="0" w:space="0" w:color="auto"/>
        <w:left w:val="none" w:sz="0" w:space="0" w:color="auto"/>
        <w:bottom w:val="none" w:sz="0" w:space="0" w:color="auto"/>
        <w:right w:val="none" w:sz="0" w:space="0" w:color="auto"/>
      </w:divBdr>
    </w:div>
    <w:div w:id="777529403">
      <w:bodyDiv w:val="1"/>
      <w:marLeft w:val="0"/>
      <w:marRight w:val="0"/>
      <w:marTop w:val="0"/>
      <w:marBottom w:val="0"/>
      <w:divBdr>
        <w:top w:val="none" w:sz="0" w:space="0" w:color="auto"/>
        <w:left w:val="none" w:sz="0" w:space="0" w:color="auto"/>
        <w:bottom w:val="none" w:sz="0" w:space="0" w:color="auto"/>
        <w:right w:val="none" w:sz="0" w:space="0" w:color="auto"/>
      </w:divBdr>
    </w:div>
    <w:div w:id="995916053">
      <w:bodyDiv w:val="1"/>
      <w:marLeft w:val="0"/>
      <w:marRight w:val="0"/>
      <w:marTop w:val="0"/>
      <w:marBottom w:val="0"/>
      <w:divBdr>
        <w:top w:val="none" w:sz="0" w:space="0" w:color="auto"/>
        <w:left w:val="none" w:sz="0" w:space="0" w:color="auto"/>
        <w:bottom w:val="none" w:sz="0" w:space="0" w:color="auto"/>
        <w:right w:val="none" w:sz="0" w:space="0" w:color="auto"/>
      </w:divBdr>
    </w:div>
    <w:div w:id="1464277234">
      <w:bodyDiv w:val="1"/>
      <w:marLeft w:val="0"/>
      <w:marRight w:val="0"/>
      <w:marTop w:val="0"/>
      <w:marBottom w:val="0"/>
      <w:divBdr>
        <w:top w:val="none" w:sz="0" w:space="0" w:color="auto"/>
        <w:left w:val="none" w:sz="0" w:space="0" w:color="auto"/>
        <w:bottom w:val="none" w:sz="0" w:space="0" w:color="auto"/>
        <w:right w:val="none" w:sz="0" w:space="0" w:color="auto"/>
      </w:divBdr>
    </w:div>
    <w:div w:id="1559896883">
      <w:bodyDiv w:val="1"/>
      <w:marLeft w:val="0"/>
      <w:marRight w:val="0"/>
      <w:marTop w:val="0"/>
      <w:marBottom w:val="0"/>
      <w:divBdr>
        <w:top w:val="none" w:sz="0" w:space="0" w:color="auto"/>
        <w:left w:val="none" w:sz="0" w:space="0" w:color="auto"/>
        <w:bottom w:val="none" w:sz="0" w:space="0" w:color="auto"/>
        <w:right w:val="none" w:sz="0" w:space="0" w:color="auto"/>
      </w:divBdr>
    </w:div>
    <w:div w:id="1680546046">
      <w:bodyDiv w:val="1"/>
      <w:marLeft w:val="0"/>
      <w:marRight w:val="0"/>
      <w:marTop w:val="0"/>
      <w:marBottom w:val="0"/>
      <w:divBdr>
        <w:top w:val="none" w:sz="0" w:space="0" w:color="auto"/>
        <w:left w:val="none" w:sz="0" w:space="0" w:color="auto"/>
        <w:bottom w:val="none" w:sz="0" w:space="0" w:color="auto"/>
        <w:right w:val="none" w:sz="0" w:space="0" w:color="auto"/>
      </w:divBdr>
    </w:div>
    <w:div w:id="1749644024">
      <w:bodyDiv w:val="1"/>
      <w:marLeft w:val="0"/>
      <w:marRight w:val="0"/>
      <w:marTop w:val="0"/>
      <w:marBottom w:val="0"/>
      <w:divBdr>
        <w:top w:val="none" w:sz="0" w:space="0" w:color="auto"/>
        <w:left w:val="none" w:sz="0" w:space="0" w:color="auto"/>
        <w:bottom w:val="none" w:sz="0" w:space="0" w:color="auto"/>
        <w:right w:val="none" w:sz="0" w:space="0" w:color="auto"/>
      </w:divBdr>
    </w:div>
    <w:div w:id="1853763034">
      <w:bodyDiv w:val="1"/>
      <w:marLeft w:val="0"/>
      <w:marRight w:val="0"/>
      <w:marTop w:val="0"/>
      <w:marBottom w:val="0"/>
      <w:divBdr>
        <w:top w:val="none" w:sz="0" w:space="0" w:color="auto"/>
        <w:left w:val="none" w:sz="0" w:space="0" w:color="auto"/>
        <w:bottom w:val="none" w:sz="0" w:space="0" w:color="auto"/>
        <w:right w:val="none" w:sz="0" w:space="0" w:color="auto"/>
      </w:divBdr>
    </w:div>
    <w:div w:id="1973436324">
      <w:bodyDiv w:val="1"/>
      <w:marLeft w:val="0"/>
      <w:marRight w:val="0"/>
      <w:marTop w:val="0"/>
      <w:marBottom w:val="0"/>
      <w:divBdr>
        <w:top w:val="none" w:sz="0" w:space="0" w:color="auto"/>
        <w:left w:val="none" w:sz="0" w:space="0" w:color="auto"/>
        <w:bottom w:val="none" w:sz="0" w:space="0" w:color="auto"/>
        <w:right w:val="none" w:sz="0" w:space="0" w:color="auto"/>
      </w:divBdr>
    </w:div>
    <w:div w:id="1987932562">
      <w:bodyDiv w:val="1"/>
      <w:marLeft w:val="0"/>
      <w:marRight w:val="0"/>
      <w:marTop w:val="0"/>
      <w:marBottom w:val="0"/>
      <w:divBdr>
        <w:top w:val="none" w:sz="0" w:space="0" w:color="auto"/>
        <w:left w:val="none" w:sz="0" w:space="0" w:color="auto"/>
        <w:bottom w:val="none" w:sz="0" w:space="0" w:color="auto"/>
        <w:right w:val="none" w:sz="0" w:space="0" w:color="auto"/>
      </w:divBdr>
    </w:div>
    <w:div w:id="201275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dministrator\Desktop\&#22303;&#22320;&#26032;&#38395;\&#22303;&#22320;&#24066;&#22330;&#19977;&#23395;&#24230;&#25968;&#25454;&#32479;&#3574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53018372703434"/>
          <c:y val="5.1400554097404488E-2"/>
          <c:w val="0.86140179352581026"/>
          <c:h val="0.58441710411198478"/>
        </c:manualLayout>
      </c:layout>
      <c:barChart>
        <c:barDir val="col"/>
        <c:grouping val="clustered"/>
        <c:varyColors val="0"/>
        <c:ser>
          <c:idx val="0"/>
          <c:order val="0"/>
          <c:tx>
            <c:strRef>
              <c:f>Sheet1!$B$1</c:f>
              <c:strCache>
                <c:ptCount val="1"/>
                <c:pt idx="0">
                  <c:v>南京</c:v>
                </c:pt>
              </c:strCache>
            </c:strRef>
          </c:tx>
          <c:invertIfNegative val="0"/>
          <c:cat>
            <c:strRef>
              <c:f>Sheet1!$A$2:$A$12</c:f>
              <c:strCache>
                <c:ptCount val="11"/>
                <c:pt idx="0">
                  <c:v>2013年一季度</c:v>
                </c:pt>
                <c:pt idx="1">
                  <c:v>2013年二季度</c:v>
                </c:pt>
                <c:pt idx="2">
                  <c:v>2013年三季度</c:v>
                </c:pt>
                <c:pt idx="3">
                  <c:v>2013年四季度</c:v>
                </c:pt>
                <c:pt idx="4">
                  <c:v>2014年一季度</c:v>
                </c:pt>
                <c:pt idx="5">
                  <c:v>2014年二季度</c:v>
                </c:pt>
                <c:pt idx="6">
                  <c:v>2014年三季度</c:v>
                </c:pt>
                <c:pt idx="7">
                  <c:v>2014年四季度</c:v>
                </c:pt>
                <c:pt idx="8">
                  <c:v>2015年一季度</c:v>
                </c:pt>
                <c:pt idx="9">
                  <c:v>2015年二季度</c:v>
                </c:pt>
                <c:pt idx="10">
                  <c:v>2015年三季度</c:v>
                </c:pt>
              </c:strCache>
            </c:strRef>
          </c:cat>
          <c:val>
            <c:numRef>
              <c:f>Sheet1!$B$2:$B$12</c:f>
              <c:numCache>
                <c:formatCode>0.00_ </c:formatCode>
                <c:ptCount val="11"/>
                <c:pt idx="0">
                  <c:v>159.63214000000002</c:v>
                </c:pt>
                <c:pt idx="1">
                  <c:v>120.08329899999998</c:v>
                </c:pt>
                <c:pt idx="2">
                  <c:v>157.74297299999998</c:v>
                </c:pt>
                <c:pt idx="3">
                  <c:v>114.38623500000003</c:v>
                </c:pt>
                <c:pt idx="4">
                  <c:v>175.77816000000001</c:v>
                </c:pt>
                <c:pt idx="5">
                  <c:v>250.41859900000003</c:v>
                </c:pt>
                <c:pt idx="6">
                  <c:v>27.295353000000002</c:v>
                </c:pt>
                <c:pt idx="7">
                  <c:v>343.36081100000001</c:v>
                </c:pt>
                <c:pt idx="8" formatCode="General">
                  <c:v>30.01</c:v>
                </c:pt>
                <c:pt idx="9" formatCode="General">
                  <c:v>106.95</c:v>
                </c:pt>
                <c:pt idx="10">
                  <c:v>105.85</c:v>
                </c:pt>
              </c:numCache>
            </c:numRef>
          </c:val>
        </c:ser>
        <c:ser>
          <c:idx val="1"/>
          <c:order val="1"/>
          <c:tx>
            <c:strRef>
              <c:f>Sheet1!$C$1</c:f>
              <c:strCache>
                <c:ptCount val="1"/>
                <c:pt idx="0">
                  <c:v>苏州</c:v>
                </c:pt>
              </c:strCache>
            </c:strRef>
          </c:tx>
          <c:invertIfNegative val="0"/>
          <c:cat>
            <c:strRef>
              <c:f>Sheet1!$A$2:$A$12</c:f>
              <c:strCache>
                <c:ptCount val="11"/>
                <c:pt idx="0">
                  <c:v>2013年一季度</c:v>
                </c:pt>
                <c:pt idx="1">
                  <c:v>2013年二季度</c:v>
                </c:pt>
                <c:pt idx="2">
                  <c:v>2013年三季度</c:v>
                </c:pt>
                <c:pt idx="3">
                  <c:v>2013年四季度</c:v>
                </c:pt>
                <c:pt idx="4">
                  <c:v>2014年一季度</c:v>
                </c:pt>
                <c:pt idx="5">
                  <c:v>2014年二季度</c:v>
                </c:pt>
                <c:pt idx="6">
                  <c:v>2014年三季度</c:v>
                </c:pt>
                <c:pt idx="7">
                  <c:v>2014年四季度</c:v>
                </c:pt>
                <c:pt idx="8">
                  <c:v>2015年一季度</c:v>
                </c:pt>
                <c:pt idx="9">
                  <c:v>2015年二季度</c:v>
                </c:pt>
                <c:pt idx="10">
                  <c:v>2015年三季度</c:v>
                </c:pt>
              </c:strCache>
            </c:strRef>
          </c:cat>
          <c:val>
            <c:numRef>
              <c:f>Sheet1!$C$2:$C$12</c:f>
              <c:numCache>
                <c:formatCode>0.00_);[Red]\(0.00\)</c:formatCode>
                <c:ptCount val="11"/>
                <c:pt idx="0">
                  <c:v>199.65469999999999</c:v>
                </c:pt>
                <c:pt idx="1">
                  <c:v>148.91800000000001</c:v>
                </c:pt>
                <c:pt idx="2">
                  <c:v>178.94450000000001</c:v>
                </c:pt>
                <c:pt idx="3">
                  <c:v>139.40559999999999</c:v>
                </c:pt>
                <c:pt idx="4">
                  <c:v>150.43090000000001</c:v>
                </c:pt>
                <c:pt idx="5" formatCode="General">
                  <c:v>135.87</c:v>
                </c:pt>
                <c:pt idx="6" formatCode="General">
                  <c:v>134.62</c:v>
                </c:pt>
                <c:pt idx="7" formatCode="General">
                  <c:v>213.54820000000001</c:v>
                </c:pt>
                <c:pt idx="8">
                  <c:v>10.02</c:v>
                </c:pt>
                <c:pt idx="9" formatCode="General">
                  <c:v>140.04</c:v>
                </c:pt>
                <c:pt idx="10" formatCode="General">
                  <c:v>152.63</c:v>
                </c:pt>
              </c:numCache>
            </c:numRef>
          </c:val>
        </c:ser>
        <c:ser>
          <c:idx val="2"/>
          <c:order val="2"/>
          <c:tx>
            <c:strRef>
              <c:f>Sheet1!$D$1</c:f>
              <c:strCache>
                <c:ptCount val="1"/>
                <c:pt idx="0">
                  <c:v>无锡</c:v>
                </c:pt>
              </c:strCache>
            </c:strRef>
          </c:tx>
          <c:invertIfNegative val="0"/>
          <c:cat>
            <c:strRef>
              <c:f>Sheet1!$A$2:$A$12</c:f>
              <c:strCache>
                <c:ptCount val="11"/>
                <c:pt idx="0">
                  <c:v>2013年一季度</c:v>
                </c:pt>
                <c:pt idx="1">
                  <c:v>2013年二季度</c:v>
                </c:pt>
                <c:pt idx="2">
                  <c:v>2013年三季度</c:v>
                </c:pt>
                <c:pt idx="3">
                  <c:v>2013年四季度</c:v>
                </c:pt>
                <c:pt idx="4">
                  <c:v>2014年一季度</c:v>
                </c:pt>
                <c:pt idx="5">
                  <c:v>2014年二季度</c:v>
                </c:pt>
                <c:pt idx="6">
                  <c:v>2014年三季度</c:v>
                </c:pt>
                <c:pt idx="7">
                  <c:v>2014年四季度</c:v>
                </c:pt>
                <c:pt idx="8">
                  <c:v>2015年一季度</c:v>
                </c:pt>
                <c:pt idx="9">
                  <c:v>2015年二季度</c:v>
                </c:pt>
                <c:pt idx="10">
                  <c:v>2015年三季度</c:v>
                </c:pt>
              </c:strCache>
            </c:strRef>
          </c:cat>
          <c:val>
            <c:numRef>
              <c:f>Sheet1!$D$2:$D$12</c:f>
              <c:numCache>
                <c:formatCode>0.00_);[Red]\(0.00\)</c:formatCode>
                <c:ptCount val="11"/>
                <c:pt idx="0">
                  <c:v>114.67570000000001</c:v>
                </c:pt>
                <c:pt idx="1">
                  <c:v>108.53</c:v>
                </c:pt>
                <c:pt idx="2">
                  <c:v>133.16</c:v>
                </c:pt>
                <c:pt idx="3">
                  <c:v>83.092500000000001</c:v>
                </c:pt>
                <c:pt idx="4">
                  <c:v>87.55</c:v>
                </c:pt>
                <c:pt idx="5" formatCode="General">
                  <c:v>49.67</c:v>
                </c:pt>
                <c:pt idx="6" formatCode="0.00_ ">
                  <c:v>85.1</c:v>
                </c:pt>
                <c:pt idx="7" formatCode="General">
                  <c:v>22.867999999999999</c:v>
                </c:pt>
                <c:pt idx="8">
                  <c:v>100.1</c:v>
                </c:pt>
                <c:pt idx="9" formatCode="General">
                  <c:v>3.5</c:v>
                </c:pt>
                <c:pt idx="10" formatCode="General">
                  <c:v>11.27</c:v>
                </c:pt>
              </c:numCache>
            </c:numRef>
          </c:val>
        </c:ser>
        <c:ser>
          <c:idx val="3"/>
          <c:order val="3"/>
          <c:tx>
            <c:strRef>
              <c:f>Sheet1!$E$1</c:f>
              <c:strCache>
                <c:ptCount val="1"/>
                <c:pt idx="0">
                  <c:v>常州</c:v>
                </c:pt>
              </c:strCache>
            </c:strRef>
          </c:tx>
          <c:invertIfNegative val="0"/>
          <c:cat>
            <c:strRef>
              <c:f>Sheet1!$A$2:$A$12</c:f>
              <c:strCache>
                <c:ptCount val="11"/>
                <c:pt idx="0">
                  <c:v>2013年一季度</c:v>
                </c:pt>
                <c:pt idx="1">
                  <c:v>2013年二季度</c:v>
                </c:pt>
                <c:pt idx="2">
                  <c:v>2013年三季度</c:v>
                </c:pt>
                <c:pt idx="3">
                  <c:v>2013年四季度</c:v>
                </c:pt>
                <c:pt idx="4">
                  <c:v>2014年一季度</c:v>
                </c:pt>
                <c:pt idx="5">
                  <c:v>2014年二季度</c:v>
                </c:pt>
                <c:pt idx="6">
                  <c:v>2014年三季度</c:v>
                </c:pt>
                <c:pt idx="7">
                  <c:v>2014年四季度</c:v>
                </c:pt>
                <c:pt idx="8">
                  <c:v>2015年一季度</c:v>
                </c:pt>
                <c:pt idx="9">
                  <c:v>2015年二季度</c:v>
                </c:pt>
                <c:pt idx="10">
                  <c:v>2015年三季度</c:v>
                </c:pt>
              </c:strCache>
            </c:strRef>
          </c:cat>
          <c:val>
            <c:numRef>
              <c:f>Sheet1!$E$2:$E$12</c:f>
              <c:numCache>
                <c:formatCode>0.00_);[Red]\(0.00\)</c:formatCode>
                <c:ptCount val="11"/>
                <c:pt idx="0">
                  <c:v>66.894999999999996</c:v>
                </c:pt>
                <c:pt idx="1">
                  <c:v>147.453</c:v>
                </c:pt>
                <c:pt idx="2">
                  <c:v>73.264700000000005</c:v>
                </c:pt>
                <c:pt idx="3">
                  <c:v>213.4871</c:v>
                </c:pt>
                <c:pt idx="4">
                  <c:v>69.239999999999995</c:v>
                </c:pt>
                <c:pt idx="5" formatCode="General">
                  <c:v>102.4</c:v>
                </c:pt>
                <c:pt idx="6" formatCode="General">
                  <c:v>135.65</c:v>
                </c:pt>
                <c:pt idx="7" formatCode="General">
                  <c:v>231.21770000000001</c:v>
                </c:pt>
                <c:pt idx="8">
                  <c:v>116.72</c:v>
                </c:pt>
                <c:pt idx="9" formatCode="General">
                  <c:v>31.39</c:v>
                </c:pt>
                <c:pt idx="10" formatCode="General">
                  <c:v>70.22</c:v>
                </c:pt>
              </c:numCache>
            </c:numRef>
          </c:val>
        </c:ser>
        <c:ser>
          <c:idx val="4"/>
          <c:order val="4"/>
          <c:tx>
            <c:strRef>
              <c:f>Sheet1!$F$1</c:f>
              <c:strCache>
                <c:ptCount val="1"/>
                <c:pt idx="0">
                  <c:v>镇江</c:v>
                </c:pt>
              </c:strCache>
            </c:strRef>
          </c:tx>
          <c:invertIfNegative val="0"/>
          <c:cat>
            <c:strRef>
              <c:f>Sheet1!$A$2:$A$12</c:f>
              <c:strCache>
                <c:ptCount val="11"/>
                <c:pt idx="0">
                  <c:v>2013年一季度</c:v>
                </c:pt>
                <c:pt idx="1">
                  <c:v>2013年二季度</c:v>
                </c:pt>
                <c:pt idx="2">
                  <c:v>2013年三季度</c:v>
                </c:pt>
                <c:pt idx="3">
                  <c:v>2013年四季度</c:v>
                </c:pt>
                <c:pt idx="4">
                  <c:v>2014年一季度</c:v>
                </c:pt>
                <c:pt idx="5">
                  <c:v>2014年二季度</c:v>
                </c:pt>
                <c:pt idx="6">
                  <c:v>2014年三季度</c:v>
                </c:pt>
                <c:pt idx="7">
                  <c:v>2014年四季度</c:v>
                </c:pt>
                <c:pt idx="8">
                  <c:v>2015年一季度</c:v>
                </c:pt>
                <c:pt idx="9">
                  <c:v>2015年二季度</c:v>
                </c:pt>
                <c:pt idx="10">
                  <c:v>2015年三季度</c:v>
                </c:pt>
              </c:strCache>
            </c:strRef>
          </c:cat>
          <c:val>
            <c:numRef>
              <c:f>Sheet1!$F$2:$F$12</c:f>
              <c:numCache>
                <c:formatCode>0.00_ </c:formatCode>
                <c:ptCount val="11"/>
                <c:pt idx="0">
                  <c:v>41.524900000000002</c:v>
                </c:pt>
                <c:pt idx="1">
                  <c:v>42.406500000000001</c:v>
                </c:pt>
                <c:pt idx="2">
                  <c:v>99.5261</c:v>
                </c:pt>
                <c:pt idx="3">
                  <c:v>148.69409999999999</c:v>
                </c:pt>
                <c:pt idx="4">
                  <c:v>106.2616</c:v>
                </c:pt>
                <c:pt idx="5">
                  <c:v>30.375900000000001</c:v>
                </c:pt>
                <c:pt idx="6">
                  <c:v>0</c:v>
                </c:pt>
                <c:pt idx="7">
                  <c:v>84.577699999999993</c:v>
                </c:pt>
                <c:pt idx="8" formatCode="General">
                  <c:v>65.239999999999995</c:v>
                </c:pt>
                <c:pt idx="9" formatCode="General">
                  <c:v>42.31</c:v>
                </c:pt>
                <c:pt idx="10" formatCode="General">
                  <c:v>14.13</c:v>
                </c:pt>
              </c:numCache>
            </c:numRef>
          </c:val>
        </c:ser>
        <c:dLbls>
          <c:showLegendKey val="0"/>
          <c:showVal val="0"/>
          <c:showCatName val="0"/>
          <c:showSerName val="0"/>
          <c:showPercent val="0"/>
          <c:showBubbleSize val="0"/>
        </c:dLbls>
        <c:gapWidth val="150"/>
        <c:axId val="209301888"/>
        <c:axId val="209303424"/>
      </c:barChart>
      <c:catAx>
        <c:axId val="209301888"/>
        <c:scaling>
          <c:orientation val="minMax"/>
        </c:scaling>
        <c:delete val="0"/>
        <c:axPos val="b"/>
        <c:majorTickMark val="out"/>
        <c:minorTickMark val="none"/>
        <c:tickLblPos val="nextTo"/>
        <c:txPr>
          <a:bodyPr/>
          <a:lstStyle/>
          <a:p>
            <a:pPr>
              <a:defRPr sz="900"/>
            </a:pPr>
            <a:endParaRPr lang="zh-CN"/>
          </a:p>
        </c:txPr>
        <c:crossAx val="209303424"/>
        <c:crosses val="autoZero"/>
        <c:auto val="1"/>
        <c:lblAlgn val="ctr"/>
        <c:lblOffset val="100"/>
        <c:noMultiLvlLbl val="0"/>
      </c:catAx>
      <c:valAx>
        <c:axId val="209303424"/>
        <c:scaling>
          <c:orientation val="minMax"/>
        </c:scaling>
        <c:delete val="0"/>
        <c:axPos val="l"/>
        <c:majorGridlines>
          <c:spPr>
            <a:ln>
              <a:noFill/>
            </a:ln>
          </c:spPr>
        </c:majorGridlines>
        <c:numFmt formatCode="0.00_ " sourceLinked="1"/>
        <c:majorTickMark val="out"/>
        <c:minorTickMark val="none"/>
        <c:tickLblPos val="nextTo"/>
        <c:crossAx val="209301888"/>
        <c:crosses val="autoZero"/>
        <c:crossBetween val="between"/>
      </c:valAx>
    </c:plotArea>
    <c:legend>
      <c:legendPos val="r"/>
      <c:layout>
        <c:manualLayout>
          <c:xMode val="edge"/>
          <c:yMode val="edge"/>
          <c:x val="0.19448753280839917"/>
          <c:y val="0.89255869058034409"/>
          <c:w val="0.64717913385826775"/>
          <c:h val="0.10377114319043459"/>
        </c:manualLayout>
      </c:layout>
      <c:overlay val="0"/>
      <c:txPr>
        <a:bodyPr/>
        <a:lstStyle/>
        <a:p>
          <a:pPr>
            <a:defRPr sz="900"/>
          </a:pPr>
          <a:endParaRPr lang="zh-CN"/>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2753018372703434"/>
          <c:y val="5.1400554097404488E-2"/>
          <c:w val="0.85056277340332453"/>
          <c:h val="0.61600758238553577"/>
        </c:manualLayout>
      </c:layout>
      <c:bar3DChart>
        <c:barDir val="col"/>
        <c:grouping val="clustered"/>
        <c:varyColors val="0"/>
        <c:ser>
          <c:idx val="0"/>
          <c:order val="0"/>
          <c:tx>
            <c:strRef>
              <c:f>Sheet1!$B$40</c:f>
              <c:strCache>
                <c:ptCount val="1"/>
                <c:pt idx="0">
                  <c:v>南京</c:v>
                </c:pt>
              </c:strCache>
            </c:strRef>
          </c:tx>
          <c:invertIfNegative val="0"/>
          <c:cat>
            <c:strRef>
              <c:f>Sheet1!$A$41:$A$51</c:f>
              <c:strCache>
                <c:ptCount val="11"/>
                <c:pt idx="0">
                  <c:v>2013年一季度</c:v>
                </c:pt>
                <c:pt idx="1">
                  <c:v>2013年二季度</c:v>
                </c:pt>
                <c:pt idx="2">
                  <c:v>2013年三季度</c:v>
                </c:pt>
                <c:pt idx="3">
                  <c:v>2013年四季度</c:v>
                </c:pt>
                <c:pt idx="4">
                  <c:v>2014年一季度</c:v>
                </c:pt>
                <c:pt idx="5">
                  <c:v>2014年二季度</c:v>
                </c:pt>
                <c:pt idx="6">
                  <c:v>2014年三季度</c:v>
                </c:pt>
                <c:pt idx="7">
                  <c:v>2014年四季度</c:v>
                </c:pt>
                <c:pt idx="8">
                  <c:v>2015年一季度</c:v>
                </c:pt>
                <c:pt idx="9">
                  <c:v>2015年二季度</c:v>
                </c:pt>
                <c:pt idx="10">
                  <c:v>2015年三季度</c:v>
                </c:pt>
              </c:strCache>
            </c:strRef>
          </c:cat>
          <c:val>
            <c:numRef>
              <c:f>Sheet1!$B$41:$B$51</c:f>
              <c:numCache>
                <c:formatCode>0.00_);[Red]\(0.00\)</c:formatCode>
                <c:ptCount val="11"/>
                <c:pt idx="0">
                  <c:v>152.84431999999998</c:v>
                </c:pt>
                <c:pt idx="1">
                  <c:v>120.08329899999998</c:v>
                </c:pt>
                <c:pt idx="2">
                  <c:v>156.493989</c:v>
                </c:pt>
                <c:pt idx="3">
                  <c:v>99.187900000000013</c:v>
                </c:pt>
                <c:pt idx="4">
                  <c:v>158.18037000000001</c:v>
                </c:pt>
                <c:pt idx="5">
                  <c:v>235.54025200000001</c:v>
                </c:pt>
                <c:pt idx="6">
                  <c:v>27.295353000000002</c:v>
                </c:pt>
                <c:pt idx="7">
                  <c:v>328.63322499999998</c:v>
                </c:pt>
                <c:pt idx="8">
                  <c:v>30.01</c:v>
                </c:pt>
                <c:pt idx="9" formatCode="General">
                  <c:v>67.41</c:v>
                </c:pt>
                <c:pt idx="10" formatCode="General">
                  <c:v>85.97</c:v>
                </c:pt>
              </c:numCache>
            </c:numRef>
          </c:val>
        </c:ser>
        <c:ser>
          <c:idx val="1"/>
          <c:order val="1"/>
          <c:tx>
            <c:strRef>
              <c:f>Sheet1!$C$40</c:f>
              <c:strCache>
                <c:ptCount val="1"/>
                <c:pt idx="0">
                  <c:v>苏州</c:v>
                </c:pt>
              </c:strCache>
            </c:strRef>
          </c:tx>
          <c:invertIfNegative val="0"/>
          <c:cat>
            <c:strRef>
              <c:f>Sheet1!$A$41:$A$51</c:f>
              <c:strCache>
                <c:ptCount val="11"/>
                <c:pt idx="0">
                  <c:v>2013年一季度</c:v>
                </c:pt>
                <c:pt idx="1">
                  <c:v>2013年二季度</c:v>
                </c:pt>
                <c:pt idx="2">
                  <c:v>2013年三季度</c:v>
                </c:pt>
                <c:pt idx="3">
                  <c:v>2013年四季度</c:v>
                </c:pt>
                <c:pt idx="4">
                  <c:v>2014年一季度</c:v>
                </c:pt>
                <c:pt idx="5">
                  <c:v>2014年二季度</c:v>
                </c:pt>
                <c:pt idx="6">
                  <c:v>2014年三季度</c:v>
                </c:pt>
                <c:pt idx="7">
                  <c:v>2014年四季度</c:v>
                </c:pt>
                <c:pt idx="8">
                  <c:v>2015年一季度</c:v>
                </c:pt>
                <c:pt idx="9">
                  <c:v>2015年二季度</c:v>
                </c:pt>
                <c:pt idx="10">
                  <c:v>2015年三季度</c:v>
                </c:pt>
              </c:strCache>
            </c:strRef>
          </c:cat>
          <c:val>
            <c:numRef>
              <c:f>Sheet1!$C$41:$C$51</c:f>
              <c:numCache>
                <c:formatCode>0.00_);[Red]\(0.00\)</c:formatCode>
                <c:ptCount val="11"/>
                <c:pt idx="0">
                  <c:v>185.13</c:v>
                </c:pt>
                <c:pt idx="1">
                  <c:v>148.91999999999999</c:v>
                </c:pt>
                <c:pt idx="2">
                  <c:v>168.21</c:v>
                </c:pt>
                <c:pt idx="3">
                  <c:v>136.78</c:v>
                </c:pt>
                <c:pt idx="4">
                  <c:v>140.66999999999999</c:v>
                </c:pt>
                <c:pt idx="5">
                  <c:v>105.35</c:v>
                </c:pt>
                <c:pt idx="6">
                  <c:v>134.62</c:v>
                </c:pt>
                <c:pt idx="7">
                  <c:v>138.56</c:v>
                </c:pt>
                <c:pt idx="8">
                  <c:v>10.02</c:v>
                </c:pt>
                <c:pt idx="9" formatCode="General">
                  <c:v>139.15</c:v>
                </c:pt>
                <c:pt idx="10" formatCode="General">
                  <c:v>141.47999999999999</c:v>
                </c:pt>
              </c:numCache>
            </c:numRef>
          </c:val>
        </c:ser>
        <c:ser>
          <c:idx val="2"/>
          <c:order val="2"/>
          <c:tx>
            <c:strRef>
              <c:f>Sheet1!$D$40</c:f>
              <c:strCache>
                <c:ptCount val="1"/>
                <c:pt idx="0">
                  <c:v>无锡</c:v>
                </c:pt>
              </c:strCache>
            </c:strRef>
          </c:tx>
          <c:invertIfNegative val="0"/>
          <c:cat>
            <c:strRef>
              <c:f>Sheet1!$A$41:$A$51</c:f>
              <c:strCache>
                <c:ptCount val="11"/>
                <c:pt idx="0">
                  <c:v>2013年一季度</c:v>
                </c:pt>
                <c:pt idx="1">
                  <c:v>2013年二季度</c:v>
                </c:pt>
                <c:pt idx="2">
                  <c:v>2013年三季度</c:v>
                </c:pt>
                <c:pt idx="3">
                  <c:v>2013年四季度</c:v>
                </c:pt>
                <c:pt idx="4">
                  <c:v>2014年一季度</c:v>
                </c:pt>
                <c:pt idx="5">
                  <c:v>2014年二季度</c:v>
                </c:pt>
                <c:pt idx="6">
                  <c:v>2014年三季度</c:v>
                </c:pt>
                <c:pt idx="7">
                  <c:v>2014年四季度</c:v>
                </c:pt>
                <c:pt idx="8">
                  <c:v>2015年一季度</c:v>
                </c:pt>
                <c:pt idx="9">
                  <c:v>2015年二季度</c:v>
                </c:pt>
                <c:pt idx="10">
                  <c:v>2015年三季度</c:v>
                </c:pt>
              </c:strCache>
            </c:strRef>
          </c:cat>
          <c:val>
            <c:numRef>
              <c:f>Sheet1!$D$41:$D$51</c:f>
              <c:numCache>
                <c:formatCode>0.00_);[Red]\(0.00\)</c:formatCode>
                <c:ptCount val="11"/>
                <c:pt idx="0">
                  <c:v>108.53</c:v>
                </c:pt>
                <c:pt idx="1">
                  <c:v>108.53</c:v>
                </c:pt>
                <c:pt idx="2">
                  <c:v>133.16</c:v>
                </c:pt>
                <c:pt idx="3">
                  <c:v>82.9</c:v>
                </c:pt>
                <c:pt idx="4">
                  <c:v>87.55</c:v>
                </c:pt>
                <c:pt idx="5">
                  <c:v>49.67</c:v>
                </c:pt>
                <c:pt idx="6">
                  <c:v>85.1</c:v>
                </c:pt>
                <c:pt idx="7">
                  <c:v>9.1679999999999993</c:v>
                </c:pt>
                <c:pt idx="8">
                  <c:v>100.1</c:v>
                </c:pt>
                <c:pt idx="9" formatCode="General">
                  <c:v>3.5</c:v>
                </c:pt>
                <c:pt idx="10" formatCode="General">
                  <c:v>11.27</c:v>
                </c:pt>
              </c:numCache>
            </c:numRef>
          </c:val>
        </c:ser>
        <c:ser>
          <c:idx val="3"/>
          <c:order val="3"/>
          <c:tx>
            <c:strRef>
              <c:f>Sheet1!$E$40</c:f>
              <c:strCache>
                <c:ptCount val="1"/>
                <c:pt idx="0">
                  <c:v>常州</c:v>
                </c:pt>
              </c:strCache>
            </c:strRef>
          </c:tx>
          <c:invertIfNegative val="0"/>
          <c:cat>
            <c:strRef>
              <c:f>Sheet1!$A$41:$A$51</c:f>
              <c:strCache>
                <c:ptCount val="11"/>
                <c:pt idx="0">
                  <c:v>2013年一季度</c:v>
                </c:pt>
                <c:pt idx="1">
                  <c:v>2013年二季度</c:v>
                </c:pt>
                <c:pt idx="2">
                  <c:v>2013年三季度</c:v>
                </c:pt>
                <c:pt idx="3">
                  <c:v>2013年四季度</c:v>
                </c:pt>
                <c:pt idx="4">
                  <c:v>2014年一季度</c:v>
                </c:pt>
                <c:pt idx="5">
                  <c:v>2014年二季度</c:v>
                </c:pt>
                <c:pt idx="6">
                  <c:v>2014年三季度</c:v>
                </c:pt>
                <c:pt idx="7">
                  <c:v>2014年四季度</c:v>
                </c:pt>
                <c:pt idx="8">
                  <c:v>2015年一季度</c:v>
                </c:pt>
                <c:pt idx="9">
                  <c:v>2015年二季度</c:v>
                </c:pt>
                <c:pt idx="10">
                  <c:v>2015年三季度</c:v>
                </c:pt>
              </c:strCache>
            </c:strRef>
          </c:cat>
          <c:val>
            <c:numRef>
              <c:f>Sheet1!$E$41:$E$51</c:f>
              <c:numCache>
                <c:formatCode>0.00_);[Red]\(0.00\)</c:formatCode>
                <c:ptCount val="11"/>
                <c:pt idx="0">
                  <c:v>66.900000000000006</c:v>
                </c:pt>
                <c:pt idx="1">
                  <c:v>145.08000000000001</c:v>
                </c:pt>
                <c:pt idx="2">
                  <c:v>71.620500000000007</c:v>
                </c:pt>
                <c:pt idx="3">
                  <c:v>172.37</c:v>
                </c:pt>
                <c:pt idx="4">
                  <c:v>68.47</c:v>
                </c:pt>
                <c:pt idx="5">
                  <c:v>98.43</c:v>
                </c:pt>
                <c:pt idx="6">
                  <c:v>135.65</c:v>
                </c:pt>
                <c:pt idx="7">
                  <c:v>231.21770000000001</c:v>
                </c:pt>
                <c:pt idx="8">
                  <c:v>81.47</c:v>
                </c:pt>
                <c:pt idx="9" formatCode="General">
                  <c:v>31.39</c:v>
                </c:pt>
                <c:pt idx="10" formatCode="General">
                  <c:v>66.56</c:v>
                </c:pt>
              </c:numCache>
            </c:numRef>
          </c:val>
        </c:ser>
        <c:ser>
          <c:idx val="4"/>
          <c:order val="4"/>
          <c:tx>
            <c:strRef>
              <c:f>Sheet1!$F$40</c:f>
              <c:strCache>
                <c:ptCount val="1"/>
                <c:pt idx="0">
                  <c:v>镇江</c:v>
                </c:pt>
              </c:strCache>
            </c:strRef>
          </c:tx>
          <c:invertIfNegative val="0"/>
          <c:cat>
            <c:strRef>
              <c:f>Sheet1!$A$41:$A$51</c:f>
              <c:strCache>
                <c:ptCount val="11"/>
                <c:pt idx="0">
                  <c:v>2013年一季度</c:v>
                </c:pt>
                <c:pt idx="1">
                  <c:v>2013年二季度</c:v>
                </c:pt>
                <c:pt idx="2">
                  <c:v>2013年三季度</c:v>
                </c:pt>
                <c:pt idx="3">
                  <c:v>2013年四季度</c:v>
                </c:pt>
                <c:pt idx="4">
                  <c:v>2014年一季度</c:v>
                </c:pt>
                <c:pt idx="5">
                  <c:v>2014年二季度</c:v>
                </c:pt>
                <c:pt idx="6">
                  <c:v>2014年三季度</c:v>
                </c:pt>
                <c:pt idx="7">
                  <c:v>2014年四季度</c:v>
                </c:pt>
                <c:pt idx="8">
                  <c:v>2015年一季度</c:v>
                </c:pt>
                <c:pt idx="9">
                  <c:v>2015年二季度</c:v>
                </c:pt>
                <c:pt idx="10">
                  <c:v>2015年三季度</c:v>
                </c:pt>
              </c:strCache>
            </c:strRef>
          </c:cat>
          <c:val>
            <c:numRef>
              <c:f>Sheet1!$F$41:$F$51</c:f>
              <c:numCache>
                <c:formatCode>0.00_);[Red]\(0.00\)</c:formatCode>
                <c:ptCount val="11"/>
                <c:pt idx="0">
                  <c:v>41.524900000000002</c:v>
                </c:pt>
                <c:pt idx="1">
                  <c:v>42.406500000000001</c:v>
                </c:pt>
                <c:pt idx="2">
                  <c:v>99.5261</c:v>
                </c:pt>
                <c:pt idx="3">
                  <c:v>137.11670000000001</c:v>
                </c:pt>
                <c:pt idx="4">
                  <c:v>78.611999999999995</c:v>
                </c:pt>
                <c:pt idx="5">
                  <c:v>24.063400000000001</c:v>
                </c:pt>
                <c:pt idx="6">
                  <c:v>0</c:v>
                </c:pt>
                <c:pt idx="7">
                  <c:v>30.2133</c:v>
                </c:pt>
                <c:pt idx="8">
                  <c:v>46.3</c:v>
                </c:pt>
                <c:pt idx="9" formatCode="General">
                  <c:v>42.01</c:v>
                </c:pt>
                <c:pt idx="10" formatCode="General">
                  <c:v>14.13</c:v>
                </c:pt>
              </c:numCache>
            </c:numRef>
          </c:val>
        </c:ser>
        <c:dLbls>
          <c:showLegendKey val="0"/>
          <c:showVal val="0"/>
          <c:showCatName val="0"/>
          <c:showSerName val="0"/>
          <c:showPercent val="0"/>
          <c:showBubbleSize val="0"/>
        </c:dLbls>
        <c:gapWidth val="150"/>
        <c:shape val="box"/>
        <c:axId val="436688000"/>
        <c:axId val="436689536"/>
        <c:axId val="0"/>
      </c:bar3DChart>
      <c:catAx>
        <c:axId val="436688000"/>
        <c:scaling>
          <c:orientation val="minMax"/>
        </c:scaling>
        <c:delete val="0"/>
        <c:axPos val="b"/>
        <c:majorTickMark val="out"/>
        <c:minorTickMark val="none"/>
        <c:tickLblPos val="nextTo"/>
        <c:txPr>
          <a:bodyPr/>
          <a:lstStyle/>
          <a:p>
            <a:pPr>
              <a:defRPr sz="900"/>
            </a:pPr>
            <a:endParaRPr lang="zh-CN"/>
          </a:p>
        </c:txPr>
        <c:crossAx val="436689536"/>
        <c:crosses val="autoZero"/>
        <c:auto val="1"/>
        <c:lblAlgn val="ctr"/>
        <c:lblOffset val="100"/>
        <c:noMultiLvlLbl val="0"/>
      </c:catAx>
      <c:valAx>
        <c:axId val="436689536"/>
        <c:scaling>
          <c:orientation val="minMax"/>
        </c:scaling>
        <c:delete val="0"/>
        <c:axPos val="l"/>
        <c:majorGridlines>
          <c:spPr>
            <a:ln>
              <a:noFill/>
            </a:ln>
          </c:spPr>
        </c:majorGridlines>
        <c:numFmt formatCode="0.00_);[Red]\(0.00\)" sourceLinked="1"/>
        <c:majorTickMark val="out"/>
        <c:minorTickMark val="none"/>
        <c:tickLblPos val="nextTo"/>
        <c:crossAx val="436688000"/>
        <c:crosses val="autoZero"/>
        <c:crossBetween val="between"/>
      </c:valAx>
    </c:plotArea>
    <c:legend>
      <c:legendPos val="r"/>
      <c:layout>
        <c:manualLayout>
          <c:xMode val="edge"/>
          <c:yMode val="edge"/>
          <c:x val="0.27531517935258154"/>
          <c:y val="0.91116761446485861"/>
          <c:w val="0.46357370953630794"/>
          <c:h val="8.5072178477690399E-2"/>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18079615048119"/>
          <c:y val="2.8252405949256338E-2"/>
          <c:w val="0.83596981627296585"/>
          <c:h val="0.65386154855643064"/>
        </c:manualLayout>
      </c:layout>
      <c:lineChart>
        <c:grouping val="standard"/>
        <c:varyColors val="0"/>
        <c:ser>
          <c:idx val="0"/>
          <c:order val="0"/>
          <c:tx>
            <c:strRef>
              <c:f>Sheet1!$B$99</c:f>
              <c:strCache>
                <c:ptCount val="1"/>
                <c:pt idx="0">
                  <c:v>南京</c:v>
                </c:pt>
              </c:strCache>
            </c:strRef>
          </c:tx>
          <c:cat>
            <c:strRef>
              <c:f>Sheet1!$A$100:$A$106</c:f>
              <c:strCache>
                <c:ptCount val="7"/>
                <c:pt idx="0">
                  <c:v>2014年一季度</c:v>
                </c:pt>
                <c:pt idx="1">
                  <c:v>2014年二季度</c:v>
                </c:pt>
                <c:pt idx="2">
                  <c:v>2014年三季度</c:v>
                </c:pt>
                <c:pt idx="3">
                  <c:v>2014年四季度</c:v>
                </c:pt>
                <c:pt idx="4">
                  <c:v>2015年一季度</c:v>
                </c:pt>
                <c:pt idx="5">
                  <c:v>2015年二季度</c:v>
                </c:pt>
                <c:pt idx="6">
                  <c:v>2015年三季度</c:v>
                </c:pt>
              </c:strCache>
            </c:strRef>
          </c:cat>
          <c:val>
            <c:numRef>
              <c:f>Sheet1!$B$100:$B$106</c:f>
              <c:numCache>
                <c:formatCode>0.00_ </c:formatCode>
                <c:ptCount val="7"/>
                <c:pt idx="0">
                  <c:v>3254.0020069431398</c:v>
                </c:pt>
                <c:pt idx="1">
                  <c:v>3566.5246405711055</c:v>
                </c:pt>
                <c:pt idx="2">
                  <c:v>3964.9830456834216</c:v>
                </c:pt>
                <c:pt idx="3">
                  <c:v>4685.9062593241797</c:v>
                </c:pt>
                <c:pt idx="4" formatCode="General">
                  <c:v>8894</c:v>
                </c:pt>
                <c:pt idx="5" formatCode="General">
                  <c:v>6545</c:v>
                </c:pt>
                <c:pt idx="6" formatCode="General">
                  <c:v>7480.99</c:v>
                </c:pt>
              </c:numCache>
            </c:numRef>
          </c:val>
          <c:smooth val="0"/>
        </c:ser>
        <c:ser>
          <c:idx val="1"/>
          <c:order val="1"/>
          <c:tx>
            <c:strRef>
              <c:f>Sheet1!$C$99</c:f>
              <c:strCache>
                <c:ptCount val="1"/>
                <c:pt idx="0">
                  <c:v>苏州</c:v>
                </c:pt>
              </c:strCache>
            </c:strRef>
          </c:tx>
          <c:cat>
            <c:strRef>
              <c:f>Sheet1!$A$100:$A$106</c:f>
              <c:strCache>
                <c:ptCount val="7"/>
                <c:pt idx="0">
                  <c:v>2014年一季度</c:v>
                </c:pt>
                <c:pt idx="1">
                  <c:v>2014年二季度</c:v>
                </c:pt>
                <c:pt idx="2">
                  <c:v>2014年三季度</c:v>
                </c:pt>
                <c:pt idx="3">
                  <c:v>2014年四季度</c:v>
                </c:pt>
                <c:pt idx="4">
                  <c:v>2015年一季度</c:v>
                </c:pt>
                <c:pt idx="5">
                  <c:v>2015年二季度</c:v>
                </c:pt>
                <c:pt idx="6">
                  <c:v>2015年三季度</c:v>
                </c:pt>
              </c:strCache>
            </c:strRef>
          </c:cat>
          <c:val>
            <c:numRef>
              <c:f>Sheet1!$C$100:$C$106</c:f>
              <c:numCache>
                <c:formatCode>General</c:formatCode>
                <c:ptCount val="7"/>
                <c:pt idx="0">
                  <c:v>3500.19</c:v>
                </c:pt>
                <c:pt idx="1">
                  <c:v>4085</c:v>
                </c:pt>
                <c:pt idx="2">
                  <c:v>3182</c:v>
                </c:pt>
                <c:pt idx="3">
                  <c:v>4284</c:v>
                </c:pt>
                <c:pt idx="4">
                  <c:v>2722</c:v>
                </c:pt>
                <c:pt idx="5">
                  <c:v>5706</c:v>
                </c:pt>
                <c:pt idx="6">
                  <c:v>10544.31</c:v>
                </c:pt>
              </c:numCache>
            </c:numRef>
          </c:val>
          <c:smooth val="0"/>
        </c:ser>
        <c:ser>
          <c:idx val="2"/>
          <c:order val="2"/>
          <c:tx>
            <c:strRef>
              <c:f>Sheet1!$D$99</c:f>
              <c:strCache>
                <c:ptCount val="1"/>
                <c:pt idx="0">
                  <c:v>无锡</c:v>
                </c:pt>
              </c:strCache>
            </c:strRef>
          </c:tx>
          <c:cat>
            <c:strRef>
              <c:f>Sheet1!$A$100:$A$106</c:f>
              <c:strCache>
                <c:ptCount val="7"/>
                <c:pt idx="0">
                  <c:v>2014年一季度</c:v>
                </c:pt>
                <c:pt idx="1">
                  <c:v>2014年二季度</c:v>
                </c:pt>
                <c:pt idx="2">
                  <c:v>2014年三季度</c:v>
                </c:pt>
                <c:pt idx="3">
                  <c:v>2014年四季度</c:v>
                </c:pt>
                <c:pt idx="4">
                  <c:v>2015年一季度</c:v>
                </c:pt>
                <c:pt idx="5">
                  <c:v>2015年二季度</c:v>
                </c:pt>
                <c:pt idx="6">
                  <c:v>2015年三季度</c:v>
                </c:pt>
              </c:strCache>
            </c:strRef>
          </c:cat>
          <c:val>
            <c:numRef>
              <c:f>Sheet1!$D$100:$D$106</c:f>
              <c:numCache>
                <c:formatCode>General</c:formatCode>
                <c:ptCount val="7"/>
                <c:pt idx="0">
                  <c:v>1824.39</c:v>
                </c:pt>
                <c:pt idx="1">
                  <c:v>1454.6</c:v>
                </c:pt>
                <c:pt idx="2">
                  <c:v>2147</c:v>
                </c:pt>
                <c:pt idx="3" formatCode="0.00_ ">
                  <c:v>2172.8161937087689</c:v>
                </c:pt>
                <c:pt idx="4">
                  <c:v>1571.18</c:v>
                </c:pt>
                <c:pt idx="5">
                  <c:v>1875</c:v>
                </c:pt>
                <c:pt idx="6">
                  <c:v>2323.75</c:v>
                </c:pt>
              </c:numCache>
            </c:numRef>
          </c:val>
          <c:smooth val="0"/>
        </c:ser>
        <c:ser>
          <c:idx val="3"/>
          <c:order val="3"/>
          <c:tx>
            <c:strRef>
              <c:f>Sheet1!$E$99</c:f>
              <c:strCache>
                <c:ptCount val="1"/>
                <c:pt idx="0">
                  <c:v>常州</c:v>
                </c:pt>
              </c:strCache>
            </c:strRef>
          </c:tx>
          <c:cat>
            <c:strRef>
              <c:f>Sheet1!$A$100:$A$106</c:f>
              <c:strCache>
                <c:ptCount val="7"/>
                <c:pt idx="0">
                  <c:v>2014年一季度</c:v>
                </c:pt>
                <c:pt idx="1">
                  <c:v>2014年二季度</c:v>
                </c:pt>
                <c:pt idx="2">
                  <c:v>2014年三季度</c:v>
                </c:pt>
                <c:pt idx="3">
                  <c:v>2014年四季度</c:v>
                </c:pt>
                <c:pt idx="4">
                  <c:v>2015年一季度</c:v>
                </c:pt>
                <c:pt idx="5">
                  <c:v>2015年二季度</c:v>
                </c:pt>
                <c:pt idx="6">
                  <c:v>2015年三季度</c:v>
                </c:pt>
              </c:strCache>
            </c:strRef>
          </c:cat>
          <c:val>
            <c:numRef>
              <c:f>Sheet1!$E$100:$E$106</c:f>
              <c:numCache>
                <c:formatCode>General</c:formatCode>
                <c:ptCount val="7"/>
                <c:pt idx="0">
                  <c:v>2834</c:v>
                </c:pt>
                <c:pt idx="1">
                  <c:v>2905</c:v>
                </c:pt>
                <c:pt idx="2">
                  <c:v>5547</c:v>
                </c:pt>
                <c:pt idx="3" formatCode="0.00_ ">
                  <c:v>3432.07</c:v>
                </c:pt>
                <c:pt idx="4">
                  <c:v>5378</c:v>
                </c:pt>
                <c:pt idx="5">
                  <c:v>1921</c:v>
                </c:pt>
                <c:pt idx="6">
                  <c:v>2399.86</c:v>
                </c:pt>
              </c:numCache>
            </c:numRef>
          </c:val>
          <c:smooth val="0"/>
        </c:ser>
        <c:ser>
          <c:idx val="4"/>
          <c:order val="4"/>
          <c:tx>
            <c:strRef>
              <c:f>Sheet1!$F$99</c:f>
              <c:strCache>
                <c:ptCount val="1"/>
                <c:pt idx="0">
                  <c:v>镇江</c:v>
                </c:pt>
              </c:strCache>
            </c:strRef>
          </c:tx>
          <c:cat>
            <c:strRef>
              <c:f>Sheet1!$A$100:$A$106</c:f>
              <c:strCache>
                <c:ptCount val="7"/>
                <c:pt idx="0">
                  <c:v>2014年一季度</c:v>
                </c:pt>
                <c:pt idx="1">
                  <c:v>2014年二季度</c:v>
                </c:pt>
                <c:pt idx="2">
                  <c:v>2014年三季度</c:v>
                </c:pt>
                <c:pt idx="3">
                  <c:v>2014年四季度</c:v>
                </c:pt>
                <c:pt idx="4">
                  <c:v>2015年一季度</c:v>
                </c:pt>
                <c:pt idx="5">
                  <c:v>2015年二季度</c:v>
                </c:pt>
                <c:pt idx="6">
                  <c:v>2015年三季度</c:v>
                </c:pt>
              </c:strCache>
            </c:strRef>
          </c:cat>
          <c:val>
            <c:numRef>
              <c:f>Sheet1!$F$100:$F$106</c:f>
              <c:numCache>
                <c:formatCode>0.00_ </c:formatCode>
                <c:ptCount val="7"/>
                <c:pt idx="0">
                  <c:v>1521.8</c:v>
                </c:pt>
                <c:pt idx="1">
                  <c:v>815.03</c:v>
                </c:pt>
                <c:pt idx="2" formatCode="General">
                  <c:v>0</c:v>
                </c:pt>
                <c:pt idx="3">
                  <c:v>818.75</c:v>
                </c:pt>
                <c:pt idx="4" formatCode="General">
                  <c:v>1665</c:v>
                </c:pt>
                <c:pt idx="5" formatCode="General">
                  <c:v>567</c:v>
                </c:pt>
                <c:pt idx="6" formatCode="General">
                  <c:v>2205.73</c:v>
                </c:pt>
              </c:numCache>
            </c:numRef>
          </c:val>
          <c:smooth val="0"/>
        </c:ser>
        <c:dLbls>
          <c:showLegendKey val="0"/>
          <c:showVal val="0"/>
          <c:showCatName val="0"/>
          <c:showSerName val="0"/>
          <c:showPercent val="0"/>
          <c:showBubbleSize val="0"/>
        </c:dLbls>
        <c:marker val="1"/>
        <c:smooth val="0"/>
        <c:axId val="436680192"/>
        <c:axId val="436681728"/>
      </c:lineChart>
      <c:catAx>
        <c:axId val="436680192"/>
        <c:scaling>
          <c:orientation val="minMax"/>
        </c:scaling>
        <c:delete val="0"/>
        <c:axPos val="b"/>
        <c:majorTickMark val="out"/>
        <c:minorTickMark val="none"/>
        <c:tickLblPos val="nextTo"/>
        <c:txPr>
          <a:bodyPr/>
          <a:lstStyle/>
          <a:p>
            <a:pPr>
              <a:defRPr sz="900"/>
            </a:pPr>
            <a:endParaRPr lang="zh-CN"/>
          </a:p>
        </c:txPr>
        <c:crossAx val="436681728"/>
        <c:crosses val="autoZero"/>
        <c:auto val="1"/>
        <c:lblAlgn val="ctr"/>
        <c:lblOffset val="100"/>
        <c:noMultiLvlLbl val="0"/>
      </c:catAx>
      <c:valAx>
        <c:axId val="436681728"/>
        <c:scaling>
          <c:orientation val="minMax"/>
        </c:scaling>
        <c:delete val="0"/>
        <c:axPos val="l"/>
        <c:majorGridlines>
          <c:spPr>
            <a:ln>
              <a:noFill/>
            </a:ln>
          </c:spPr>
        </c:majorGridlines>
        <c:numFmt formatCode="0.00_ " sourceLinked="1"/>
        <c:majorTickMark val="out"/>
        <c:minorTickMark val="none"/>
        <c:tickLblPos val="nextTo"/>
        <c:crossAx val="436680192"/>
        <c:crosses val="autoZero"/>
        <c:crossBetween val="between"/>
      </c:valAx>
    </c:plotArea>
    <c:legend>
      <c:legendPos val="r"/>
      <c:layout>
        <c:manualLayout>
          <c:xMode val="edge"/>
          <c:yMode val="edge"/>
          <c:x val="0.1"/>
          <c:y val="0.91570683872849301"/>
          <c:w val="0.84722222222222221"/>
          <c:h val="8.0622995042286622E-2"/>
        </c:manualLayout>
      </c:layout>
      <c:overlay val="0"/>
      <c:txPr>
        <a:bodyPr/>
        <a:lstStyle/>
        <a:p>
          <a:pPr>
            <a:defRPr sz="900"/>
          </a:pPr>
          <a:endParaRPr lang="zh-CN"/>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0.1611111111111112"/>
          <c:y val="9.2592592592592778E-3"/>
          <c:w val="0.59444444444444444"/>
          <c:h val="0.99074074074074059"/>
        </c:manualLayout>
      </c:layout>
      <c:doughnutChart>
        <c:varyColors val="1"/>
        <c:ser>
          <c:idx val="0"/>
          <c:order val="0"/>
          <c:dLbls>
            <c:showLegendKey val="0"/>
            <c:showVal val="0"/>
            <c:showCatName val="0"/>
            <c:showSerName val="0"/>
            <c:showPercent val="1"/>
            <c:showBubbleSize val="0"/>
            <c:showLeaderLines val="1"/>
          </c:dLbls>
          <c:cat>
            <c:strRef>
              <c:f>Sheet1!$B$119:$D$119</c:f>
              <c:strCache>
                <c:ptCount val="3"/>
                <c:pt idx="0">
                  <c:v>本地开发商</c:v>
                </c:pt>
                <c:pt idx="1">
                  <c:v>其他开发商</c:v>
                </c:pt>
                <c:pt idx="2">
                  <c:v>标杆房企</c:v>
                </c:pt>
              </c:strCache>
            </c:strRef>
          </c:cat>
          <c:val>
            <c:numRef>
              <c:f>Sheet1!$B$120:$D$120</c:f>
              <c:numCache>
                <c:formatCode>General</c:formatCode>
                <c:ptCount val="3"/>
                <c:pt idx="0">
                  <c:v>10</c:v>
                </c:pt>
                <c:pt idx="1">
                  <c:v>7</c:v>
                </c:pt>
                <c:pt idx="2">
                  <c:v>0</c:v>
                </c:pt>
              </c:numCache>
            </c:numRef>
          </c:val>
        </c:ser>
        <c:ser>
          <c:idx val="1"/>
          <c:order val="1"/>
          <c:dLbls>
            <c:showLegendKey val="0"/>
            <c:showVal val="0"/>
            <c:showCatName val="0"/>
            <c:showSerName val="0"/>
            <c:showPercent val="1"/>
            <c:showBubbleSize val="0"/>
            <c:showLeaderLines val="1"/>
          </c:dLbls>
          <c:cat>
            <c:strRef>
              <c:f>Sheet1!$B$119:$D$119</c:f>
              <c:strCache>
                <c:ptCount val="3"/>
                <c:pt idx="0">
                  <c:v>本地开发商</c:v>
                </c:pt>
                <c:pt idx="1">
                  <c:v>其他开发商</c:v>
                </c:pt>
                <c:pt idx="2">
                  <c:v>标杆房企</c:v>
                </c:pt>
              </c:strCache>
            </c:strRef>
          </c:cat>
          <c:val>
            <c:numRef>
              <c:f>Sheet1!$B$121:$D$121</c:f>
              <c:numCache>
                <c:formatCode>General</c:formatCode>
                <c:ptCount val="3"/>
                <c:pt idx="0">
                  <c:v>14</c:v>
                </c:pt>
                <c:pt idx="1">
                  <c:v>13</c:v>
                </c:pt>
                <c:pt idx="2">
                  <c:v>0</c:v>
                </c:pt>
              </c:numCache>
            </c:numRef>
          </c:val>
        </c:ser>
        <c:ser>
          <c:idx val="2"/>
          <c:order val="2"/>
          <c:dLbls>
            <c:showLegendKey val="0"/>
            <c:showVal val="0"/>
            <c:showCatName val="0"/>
            <c:showSerName val="0"/>
            <c:showPercent val="1"/>
            <c:showBubbleSize val="0"/>
            <c:showLeaderLines val="1"/>
          </c:dLbls>
          <c:cat>
            <c:strRef>
              <c:f>Sheet1!$B$119:$D$119</c:f>
              <c:strCache>
                <c:ptCount val="3"/>
                <c:pt idx="0">
                  <c:v>本地开发商</c:v>
                </c:pt>
                <c:pt idx="1">
                  <c:v>其他开发商</c:v>
                </c:pt>
                <c:pt idx="2">
                  <c:v>标杆房企</c:v>
                </c:pt>
              </c:strCache>
            </c:strRef>
          </c:cat>
          <c:val>
            <c:numRef>
              <c:f>Sheet1!$B$122:$D$122</c:f>
              <c:numCache>
                <c:formatCode>General</c:formatCode>
                <c:ptCount val="3"/>
                <c:pt idx="0">
                  <c:v>3</c:v>
                </c:pt>
                <c:pt idx="1">
                  <c:v>1</c:v>
                </c:pt>
                <c:pt idx="2">
                  <c:v>0</c:v>
                </c:pt>
              </c:numCache>
            </c:numRef>
          </c:val>
        </c:ser>
        <c:ser>
          <c:idx val="3"/>
          <c:order val="3"/>
          <c:dLbls>
            <c:showLegendKey val="0"/>
            <c:showVal val="0"/>
            <c:showCatName val="0"/>
            <c:showSerName val="0"/>
            <c:showPercent val="1"/>
            <c:showBubbleSize val="0"/>
            <c:showLeaderLines val="1"/>
          </c:dLbls>
          <c:cat>
            <c:strRef>
              <c:f>Sheet1!$B$119:$D$119</c:f>
              <c:strCache>
                <c:ptCount val="3"/>
                <c:pt idx="0">
                  <c:v>本地开发商</c:v>
                </c:pt>
                <c:pt idx="1">
                  <c:v>其他开发商</c:v>
                </c:pt>
                <c:pt idx="2">
                  <c:v>标杆房企</c:v>
                </c:pt>
              </c:strCache>
            </c:strRef>
          </c:cat>
          <c:val>
            <c:numRef>
              <c:f>Sheet1!$B$123:$D$123</c:f>
              <c:numCache>
                <c:formatCode>General</c:formatCode>
                <c:ptCount val="3"/>
                <c:pt idx="0">
                  <c:v>19</c:v>
                </c:pt>
                <c:pt idx="1">
                  <c:v>3</c:v>
                </c:pt>
                <c:pt idx="2">
                  <c:v>0</c:v>
                </c:pt>
              </c:numCache>
            </c:numRef>
          </c:val>
        </c:ser>
        <c:ser>
          <c:idx val="4"/>
          <c:order val="4"/>
          <c:dLbls>
            <c:showLegendKey val="0"/>
            <c:showVal val="0"/>
            <c:showCatName val="0"/>
            <c:showSerName val="0"/>
            <c:showPercent val="1"/>
            <c:showBubbleSize val="0"/>
            <c:showLeaderLines val="1"/>
          </c:dLbls>
          <c:cat>
            <c:strRef>
              <c:f>Sheet1!$B$119:$D$119</c:f>
              <c:strCache>
                <c:ptCount val="3"/>
                <c:pt idx="0">
                  <c:v>本地开发商</c:v>
                </c:pt>
                <c:pt idx="1">
                  <c:v>其他开发商</c:v>
                </c:pt>
                <c:pt idx="2">
                  <c:v>标杆房企</c:v>
                </c:pt>
              </c:strCache>
            </c:strRef>
          </c:cat>
          <c:val>
            <c:numRef>
              <c:f>Sheet1!$B$124:$D$124</c:f>
              <c:numCache>
                <c:formatCode>General</c:formatCode>
                <c:ptCount val="3"/>
                <c:pt idx="0">
                  <c:v>1</c:v>
                </c:pt>
                <c:pt idx="1">
                  <c:v>2</c:v>
                </c:pt>
                <c:pt idx="2">
                  <c:v>0</c:v>
                </c:pt>
              </c:numCache>
            </c:numRef>
          </c:val>
        </c:ser>
        <c:dLbls>
          <c:showLegendKey val="0"/>
          <c:showVal val="0"/>
          <c:showCatName val="0"/>
          <c:showSerName val="0"/>
          <c:showPercent val="0"/>
          <c:showBubbleSize val="0"/>
          <c:showLeaderLines val="1"/>
        </c:dLbls>
        <c:firstSliceAng val="0"/>
        <c:holeSize val="11"/>
      </c:doughnutChart>
    </c:plotArea>
    <c:legend>
      <c:legendPos val="r"/>
      <c:layout>
        <c:manualLayout>
          <c:xMode val="edge"/>
          <c:yMode val="edge"/>
          <c:x val="0.81944444444444464"/>
          <c:y val="0.77847222222222223"/>
          <c:w val="0.18055555555555555"/>
          <c:h val="0.22083333333333341"/>
        </c:manualLayout>
      </c:layout>
      <c:overlay val="0"/>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0.40625</cdr:x>
      <cdr:y>0.00694</cdr:y>
    </cdr:from>
    <cdr:to>
      <cdr:x>0.51458</cdr:x>
      <cdr:y>0.07639</cdr:y>
    </cdr:to>
    <cdr:sp macro="" textlink="">
      <cdr:nvSpPr>
        <cdr:cNvPr id="2" name="TextBox 1"/>
        <cdr:cNvSpPr txBox="1"/>
      </cdr:nvSpPr>
      <cdr:spPr>
        <a:xfrm xmlns:a="http://schemas.openxmlformats.org/drawingml/2006/main">
          <a:off x="1857375" y="19051"/>
          <a:ext cx="495300"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CN" altLang="en-US" sz="1100"/>
        </a:p>
      </cdr:txBody>
    </cdr:sp>
  </cdr:relSizeAnchor>
  <cdr:relSizeAnchor xmlns:cdr="http://schemas.openxmlformats.org/drawingml/2006/chartDrawing">
    <cdr:from>
      <cdr:x>0.40625</cdr:x>
      <cdr:y>0.00347</cdr:y>
    </cdr:from>
    <cdr:to>
      <cdr:x>0.525</cdr:x>
      <cdr:y>0.09375</cdr:y>
    </cdr:to>
    <cdr:sp macro="" textlink="">
      <cdr:nvSpPr>
        <cdr:cNvPr id="3" name="TextBox 2"/>
        <cdr:cNvSpPr txBox="1"/>
      </cdr:nvSpPr>
      <cdr:spPr>
        <a:xfrm xmlns:a="http://schemas.openxmlformats.org/drawingml/2006/main">
          <a:off x="1857375" y="9525"/>
          <a:ext cx="54292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1100" b="1"/>
            <a:t>镇江</a:t>
          </a:r>
        </a:p>
      </cdr:txBody>
    </cdr:sp>
  </cdr:relSizeAnchor>
  <cdr:relSizeAnchor xmlns:cdr="http://schemas.openxmlformats.org/drawingml/2006/chartDrawing">
    <cdr:from>
      <cdr:x>0.40625</cdr:x>
      <cdr:y>0.10069</cdr:y>
    </cdr:from>
    <cdr:to>
      <cdr:x>0.51875</cdr:x>
      <cdr:y>0.18403</cdr:y>
    </cdr:to>
    <cdr:sp macro="" textlink="">
      <cdr:nvSpPr>
        <cdr:cNvPr id="4" name="TextBox 3"/>
        <cdr:cNvSpPr txBox="1"/>
      </cdr:nvSpPr>
      <cdr:spPr>
        <a:xfrm xmlns:a="http://schemas.openxmlformats.org/drawingml/2006/main">
          <a:off x="1857375" y="276225"/>
          <a:ext cx="51435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1100" b="1"/>
            <a:t>常州</a:t>
          </a:r>
        </a:p>
      </cdr:txBody>
    </cdr:sp>
  </cdr:relSizeAnchor>
  <cdr:relSizeAnchor xmlns:cdr="http://schemas.openxmlformats.org/drawingml/2006/chartDrawing">
    <cdr:from>
      <cdr:x>0.40833</cdr:x>
      <cdr:y>0.18056</cdr:y>
    </cdr:from>
    <cdr:to>
      <cdr:x>0.51458</cdr:x>
      <cdr:y>0.26042</cdr:y>
    </cdr:to>
    <cdr:sp macro="" textlink="">
      <cdr:nvSpPr>
        <cdr:cNvPr id="5" name="TextBox 4"/>
        <cdr:cNvSpPr txBox="1"/>
      </cdr:nvSpPr>
      <cdr:spPr>
        <a:xfrm xmlns:a="http://schemas.openxmlformats.org/drawingml/2006/main">
          <a:off x="1866900" y="495300"/>
          <a:ext cx="485775"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1100" b="1"/>
            <a:t>无锡</a:t>
          </a:r>
        </a:p>
      </cdr:txBody>
    </cdr:sp>
  </cdr:relSizeAnchor>
  <cdr:relSizeAnchor xmlns:cdr="http://schemas.openxmlformats.org/drawingml/2006/chartDrawing">
    <cdr:from>
      <cdr:x>0.40833</cdr:x>
      <cdr:y>0.27778</cdr:y>
    </cdr:from>
    <cdr:to>
      <cdr:x>0.51042</cdr:x>
      <cdr:y>0.34722</cdr:y>
    </cdr:to>
    <cdr:sp macro="" textlink="">
      <cdr:nvSpPr>
        <cdr:cNvPr id="6" name="TextBox 5"/>
        <cdr:cNvSpPr txBox="1"/>
      </cdr:nvSpPr>
      <cdr:spPr>
        <a:xfrm xmlns:a="http://schemas.openxmlformats.org/drawingml/2006/main">
          <a:off x="1866900" y="762000"/>
          <a:ext cx="466725"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1100" b="1"/>
            <a:t>苏州</a:t>
          </a:r>
        </a:p>
      </cdr:txBody>
    </cdr:sp>
  </cdr:relSizeAnchor>
  <cdr:relSizeAnchor xmlns:cdr="http://schemas.openxmlformats.org/drawingml/2006/chartDrawing">
    <cdr:from>
      <cdr:x>0.4125</cdr:x>
      <cdr:y>0.36806</cdr:y>
    </cdr:from>
    <cdr:to>
      <cdr:x>0.52917</cdr:x>
      <cdr:y>0.45833</cdr:y>
    </cdr:to>
    <cdr:sp macro="" textlink="">
      <cdr:nvSpPr>
        <cdr:cNvPr id="7" name="TextBox 6"/>
        <cdr:cNvSpPr txBox="1"/>
      </cdr:nvSpPr>
      <cdr:spPr>
        <a:xfrm xmlns:a="http://schemas.openxmlformats.org/drawingml/2006/main">
          <a:off x="1885950" y="1009650"/>
          <a:ext cx="533400" cy="2476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1100" b="1"/>
            <a:t>南京</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1310</TotalTime>
  <Pages>9</Pages>
  <Words>1028</Words>
  <Characters>5865</Characters>
  <Application>Microsoft Office Word</Application>
  <DocSecurity>0</DocSecurity>
  <Lines>48</Lines>
  <Paragraphs>13</Paragraphs>
  <ScaleCrop>false</ScaleCrop>
  <Company>china</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432</cp:revision>
  <cp:lastPrinted>2015-07-13T09:25:00Z</cp:lastPrinted>
  <dcterms:created xsi:type="dcterms:W3CDTF">2015-07-09T02:10:00Z</dcterms:created>
  <dcterms:modified xsi:type="dcterms:W3CDTF">2015-11-02T09:01:00Z</dcterms:modified>
</cp:coreProperties>
</file>